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0358A0" w:rsidP="005610CB">
      <w:pPr>
        <w:spacing w:line="360" w:lineRule="auto"/>
        <w:jc w:val="both"/>
        <w:rPr>
          <w:rFonts w:ascii="Arial" w:hAnsi="Arial" w:cs="Arial"/>
          <w:b/>
          <w:sz w:val="20"/>
          <w:szCs w:val="20"/>
        </w:rPr>
      </w:pPr>
      <w:bookmarkStart w:id="0" w:name="_GoBack"/>
      <w:bookmarkEnd w:id="0"/>
      <w:r>
        <w:rPr>
          <w:rFonts w:ascii="Arial" w:hAnsi="Arial" w:cs="Arial"/>
          <w:b/>
          <w:sz w:val="20"/>
          <w:szCs w:val="20"/>
        </w:rPr>
        <w:t>QLT</w:t>
      </w:r>
      <w:r w:rsidR="00B823A0">
        <w:rPr>
          <w:rFonts w:ascii="Arial" w:hAnsi="Arial" w:cs="Arial"/>
          <w:b/>
          <w:sz w:val="20"/>
          <w:szCs w:val="20"/>
        </w:rPr>
        <w:t>:</w:t>
      </w:r>
      <w:r w:rsidR="00D651E1">
        <w:rPr>
          <w:rFonts w:ascii="Arial" w:hAnsi="Arial" w:cs="Arial"/>
          <w:b/>
          <w:sz w:val="20"/>
          <w:szCs w:val="20"/>
        </w:rPr>
        <w:t xml:space="preserve"> </w:t>
      </w:r>
      <w:r w:rsidR="00A25414">
        <w:rPr>
          <w:rFonts w:ascii="Arial" w:hAnsi="Arial" w:cs="Arial"/>
          <w:b/>
          <w:sz w:val="20"/>
          <w:szCs w:val="20"/>
        </w:rPr>
        <w:t>Annual General Mandate 2020</w:t>
      </w:r>
      <w:r w:rsidR="00AF204F">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0358A0">
        <w:rPr>
          <w:rFonts w:ascii="Arial" w:hAnsi="Arial" w:cs="Arial"/>
          <w:sz w:val="20"/>
          <w:szCs w:val="20"/>
        </w:rPr>
        <w:t>19</w:t>
      </w:r>
      <w:r w:rsidR="00A85D43">
        <w:rPr>
          <w:rFonts w:ascii="Arial" w:hAnsi="Arial" w:cs="Arial"/>
          <w:sz w:val="20"/>
          <w:szCs w:val="20"/>
        </w:rPr>
        <w:t xml:space="preserve">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0358A0" w:rsidRPr="000358A0">
        <w:rPr>
          <w:rFonts w:ascii="Arial" w:hAnsi="Arial" w:cs="Arial"/>
          <w:sz w:val="20"/>
          <w:szCs w:val="20"/>
        </w:rPr>
        <w:t>Inland waterway management maintenance joint stock company</w:t>
      </w:r>
      <w:r w:rsidR="000358A0">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A25414">
        <w:rPr>
          <w:rFonts w:ascii="Arial" w:hAnsi="Arial" w:cs="Arial"/>
          <w:sz w:val="20"/>
          <w:szCs w:val="20"/>
        </w:rPr>
        <w:t>annual General Mandate 2020</w:t>
      </w:r>
      <w:r w:rsidR="00AF204F">
        <w:rPr>
          <w:rFonts w:ascii="Arial" w:hAnsi="Arial" w:cs="Arial"/>
          <w:sz w:val="20"/>
          <w:szCs w:val="20"/>
        </w:rPr>
        <w:t xml:space="preserve"> </w:t>
      </w:r>
      <w:r w:rsidR="00D570D1">
        <w:rPr>
          <w:rFonts w:ascii="Arial" w:hAnsi="Arial" w:cs="Arial"/>
          <w:sz w:val="20"/>
          <w:szCs w:val="20"/>
        </w:rPr>
        <w:t>as follows:</w:t>
      </w:r>
    </w:p>
    <w:p w:rsidR="000358A0" w:rsidRDefault="000358A0" w:rsidP="00F86F51">
      <w:pPr>
        <w:spacing w:line="360" w:lineRule="auto"/>
        <w:jc w:val="both"/>
        <w:rPr>
          <w:rFonts w:ascii="Arial" w:hAnsi="Arial" w:cs="Arial"/>
          <w:sz w:val="20"/>
          <w:szCs w:val="20"/>
        </w:rPr>
      </w:pPr>
      <w:r>
        <w:rPr>
          <w:rFonts w:ascii="Arial" w:hAnsi="Arial" w:cs="Arial"/>
          <w:sz w:val="20"/>
          <w:szCs w:val="20"/>
        </w:rPr>
        <w:t>Article 1:</w:t>
      </w:r>
      <w:r w:rsidRPr="000358A0">
        <w:rPr>
          <w:rFonts w:ascii="Arial" w:hAnsi="Arial" w:cs="Arial"/>
          <w:sz w:val="20"/>
          <w:szCs w:val="20"/>
        </w:rPr>
        <w:t xml:space="preserve"> Approve the summary report on</w:t>
      </w:r>
      <w:r>
        <w:rPr>
          <w:rFonts w:ascii="Arial" w:hAnsi="Arial" w:cs="Arial"/>
          <w:sz w:val="20"/>
          <w:szCs w:val="20"/>
        </w:rPr>
        <w:t xml:space="preserve"> operation in</w:t>
      </w:r>
      <w:r w:rsidRPr="000358A0">
        <w:rPr>
          <w:rFonts w:ascii="Arial" w:hAnsi="Arial" w:cs="Arial"/>
          <w:sz w:val="20"/>
          <w:szCs w:val="20"/>
        </w:rPr>
        <w:t xml:space="preserve"> the 2015-2020 tenure and </w:t>
      </w:r>
      <w:r>
        <w:rPr>
          <w:rFonts w:ascii="Arial" w:hAnsi="Arial" w:cs="Arial"/>
          <w:sz w:val="20"/>
          <w:szCs w:val="20"/>
        </w:rPr>
        <w:t xml:space="preserve">direction for </w:t>
      </w:r>
      <w:r w:rsidRPr="000358A0">
        <w:rPr>
          <w:rFonts w:ascii="Arial" w:hAnsi="Arial" w:cs="Arial"/>
          <w:sz w:val="20"/>
          <w:szCs w:val="20"/>
        </w:rPr>
        <w:t xml:space="preserve">the 2020-2025 tenure </w:t>
      </w:r>
    </w:p>
    <w:p w:rsidR="000358A0" w:rsidRDefault="000358A0" w:rsidP="00F86F51">
      <w:pPr>
        <w:spacing w:line="360" w:lineRule="auto"/>
        <w:jc w:val="both"/>
        <w:rPr>
          <w:rFonts w:ascii="Arial" w:hAnsi="Arial" w:cs="Arial"/>
          <w:sz w:val="20"/>
          <w:szCs w:val="20"/>
        </w:rPr>
      </w:pPr>
      <w:r>
        <w:rPr>
          <w:rFonts w:ascii="Arial" w:hAnsi="Arial" w:cs="Arial"/>
          <w:sz w:val="20"/>
          <w:szCs w:val="20"/>
        </w:rPr>
        <w:t>Article 2: Approve the r</w:t>
      </w:r>
      <w:r w:rsidRPr="000358A0">
        <w:rPr>
          <w:rFonts w:ascii="Arial" w:hAnsi="Arial" w:cs="Arial"/>
          <w:sz w:val="20"/>
          <w:szCs w:val="20"/>
        </w:rPr>
        <w:t>eport on production and business results of 2019 and the plan o</w:t>
      </w:r>
      <w:r>
        <w:rPr>
          <w:rFonts w:ascii="Arial" w:hAnsi="Arial" w:cs="Arial"/>
          <w:sz w:val="20"/>
          <w:szCs w:val="20"/>
        </w:rPr>
        <w:t>n</w:t>
      </w:r>
      <w:r w:rsidRPr="000358A0">
        <w:rPr>
          <w:rFonts w:ascii="Arial" w:hAnsi="Arial" w:cs="Arial"/>
          <w:sz w:val="20"/>
          <w:szCs w:val="20"/>
        </w:rPr>
        <w:t xml:space="preserve"> production and business in </w:t>
      </w:r>
      <w:r>
        <w:rPr>
          <w:rFonts w:ascii="Arial" w:hAnsi="Arial" w:cs="Arial"/>
          <w:sz w:val="20"/>
          <w:szCs w:val="20"/>
        </w:rPr>
        <w:t xml:space="preserve">2020 </w:t>
      </w:r>
    </w:p>
    <w:p w:rsidR="000358A0" w:rsidRDefault="000358A0" w:rsidP="00F86F51">
      <w:pPr>
        <w:spacing w:line="360" w:lineRule="auto"/>
        <w:jc w:val="both"/>
        <w:rPr>
          <w:rFonts w:ascii="Arial" w:hAnsi="Arial" w:cs="Arial"/>
          <w:sz w:val="20"/>
          <w:szCs w:val="20"/>
        </w:rPr>
      </w:pPr>
      <w:r>
        <w:rPr>
          <w:rFonts w:ascii="Arial" w:hAnsi="Arial" w:cs="Arial"/>
          <w:sz w:val="20"/>
          <w:szCs w:val="20"/>
        </w:rPr>
        <w:t>Article 3: A</w:t>
      </w:r>
      <w:r w:rsidRPr="000358A0">
        <w:rPr>
          <w:rFonts w:ascii="Arial" w:hAnsi="Arial" w:cs="Arial"/>
          <w:sz w:val="20"/>
          <w:szCs w:val="20"/>
        </w:rPr>
        <w:t>pprove the production and business plan</w:t>
      </w:r>
      <w:r>
        <w:rPr>
          <w:rFonts w:ascii="Arial" w:hAnsi="Arial" w:cs="Arial"/>
          <w:sz w:val="20"/>
          <w:szCs w:val="20"/>
        </w:rPr>
        <w:t xml:space="preserve"> for term II</w:t>
      </w:r>
      <w:r w:rsidRPr="000358A0">
        <w:rPr>
          <w:rFonts w:ascii="Arial" w:hAnsi="Arial" w:cs="Arial"/>
          <w:sz w:val="20"/>
          <w:szCs w:val="20"/>
        </w:rPr>
        <w:t xml:space="preserve"> (2020-2025) with the following main contents: </w:t>
      </w:r>
    </w:p>
    <w:p w:rsidR="000358A0" w:rsidRDefault="000358A0" w:rsidP="00F86F51">
      <w:pPr>
        <w:spacing w:line="360" w:lineRule="auto"/>
        <w:jc w:val="both"/>
        <w:rPr>
          <w:rFonts w:ascii="Arial" w:hAnsi="Arial" w:cs="Arial"/>
          <w:sz w:val="20"/>
          <w:szCs w:val="20"/>
        </w:rPr>
      </w:pPr>
      <w:r w:rsidRPr="000358A0">
        <w:rPr>
          <w:rFonts w:ascii="Arial" w:hAnsi="Arial" w:cs="Arial"/>
          <w:sz w:val="20"/>
          <w:szCs w:val="20"/>
        </w:rPr>
        <w:t>+ The production increase</w:t>
      </w:r>
      <w:r>
        <w:rPr>
          <w:rFonts w:ascii="Arial" w:hAnsi="Arial" w:cs="Arial"/>
          <w:sz w:val="20"/>
          <w:szCs w:val="20"/>
        </w:rPr>
        <w:t>s</w:t>
      </w:r>
      <w:r w:rsidRPr="000358A0">
        <w:rPr>
          <w:rFonts w:ascii="Arial" w:hAnsi="Arial" w:cs="Arial"/>
          <w:sz w:val="20"/>
          <w:szCs w:val="20"/>
        </w:rPr>
        <w:t xml:space="preserve"> </w:t>
      </w:r>
      <w:r>
        <w:rPr>
          <w:rFonts w:ascii="Arial" w:hAnsi="Arial" w:cs="Arial"/>
          <w:sz w:val="20"/>
          <w:szCs w:val="20"/>
        </w:rPr>
        <w:t xml:space="preserve">year on year </w:t>
      </w:r>
    </w:p>
    <w:p w:rsidR="000358A0" w:rsidRDefault="000358A0" w:rsidP="00F86F51">
      <w:pPr>
        <w:spacing w:line="360" w:lineRule="auto"/>
        <w:jc w:val="both"/>
        <w:rPr>
          <w:rFonts w:ascii="Arial" w:hAnsi="Arial" w:cs="Arial"/>
          <w:sz w:val="20"/>
          <w:szCs w:val="20"/>
        </w:rPr>
      </w:pPr>
      <w:r w:rsidRPr="000358A0">
        <w:rPr>
          <w:rFonts w:ascii="Arial" w:hAnsi="Arial" w:cs="Arial"/>
          <w:sz w:val="20"/>
          <w:szCs w:val="20"/>
        </w:rPr>
        <w:t>+ Employee income inc</w:t>
      </w:r>
      <w:r>
        <w:rPr>
          <w:rFonts w:ascii="Arial" w:hAnsi="Arial" w:cs="Arial"/>
          <w:sz w:val="20"/>
          <w:szCs w:val="20"/>
        </w:rPr>
        <w:t>reases from 05 - 8%</w:t>
      </w:r>
    </w:p>
    <w:p w:rsidR="00736980" w:rsidRDefault="000358A0" w:rsidP="00F86F51">
      <w:pPr>
        <w:spacing w:line="360" w:lineRule="auto"/>
        <w:jc w:val="both"/>
        <w:rPr>
          <w:rFonts w:ascii="Arial" w:hAnsi="Arial" w:cs="Arial"/>
          <w:sz w:val="20"/>
          <w:szCs w:val="20"/>
        </w:rPr>
      </w:pPr>
      <w:r w:rsidRPr="000358A0">
        <w:rPr>
          <w:rFonts w:ascii="Arial" w:hAnsi="Arial" w:cs="Arial"/>
          <w:sz w:val="20"/>
          <w:szCs w:val="20"/>
        </w:rPr>
        <w:t>+ Investm</w:t>
      </w:r>
      <w:r>
        <w:rPr>
          <w:rFonts w:ascii="Arial" w:hAnsi="Arial" w:cs="Arial"/>
          <w:sz w:val="20"/>
          <w:szCs w:val="20"/>
        </w:rPr>
        <w:t>ent, procurement of equipment,</w:t>
      </w:r>
      <w:r w:rsidRPr="000358A0">
        <w:rPr>
          <w:rFonts w:ascii="Arial" w:hAnsi="Arial" w:cs="Arial"/>
          <w:sz w:val="20"/>
          <w:szCs w:val="20"/>
        </w:rPr>
        <w:t xml:space="preserve"> technological innovation</w:t>
      </w:r>
      <w:r w:rsidR="00736980">
        <w:rPr>
          <w:rFonts w:ascii="Arial" w:hAnsi="Arial" w:cs="Arial"/>
          <w:sz w:val="20"/>
          <w:szCs w:val="20"/>
        </w:rPr>
        <w:t>:</w:t>
      </w:r>
      <w:r w:rsidRPr="000358A0">
        <w:rPr>
          <w:rFonts w:ascii="Arial" w:hAnsi="Arial" w:cs="Arial"/>
          <w:sz w:val="20"/>
          <w:szCs w:val="20"/>
        </w:rPr>
        <w:t xml:space="preserve"> from </w:t>
      </w:r>
      <w:r w:rsidR="00736980">
        <w:rPr>
          <w:rFonts w:ascii="Arial" w:hAnsi="Arial" w:cs="Arial"/>
          <w:sz w:val="20"/>
          <w:szCs w:val="20"/>
        </w:rPr>
        <w:t xml:space="preserve">VND </w:t>
      </w:r>
      <w:r w:rsidRPr="000358A0">
        <w:rPr>
          <w:rFonts w:ascii="Arial" w:hAnsi="Arial" w:cs="Arial"/>
          <w:sz w:val="20"/>
          <w:szCs w:val="20"/>
        </w:rPr>
        <w:t>3.0</w:t>
      </w:r>
      <w:r w:rsidR="00736980">
        <w:rPr>
          <w:rFonts w:ascii="Arial" w:hAnsi="Arial" w:cs="Arial"/>
          <w:sz w:val="20"/>
          <w:szCs w:val="20"/>
        </w:rPr>
        <w:t xml:space="preserve"> billion</w:t>
      </w:r>
      <w:r w:rsidRPr="000358A0">
        <w:rPr>
          <w:rFonts w:ascii="Arial" w:hAnsi="Arial" w:cs="Arial"/>
          <w:sz w:val="20"/>
          <w:szCs w:val="20"/>
        </w:rPr>
        <w:t xml:space="preserve"> to </w:t>
      </w:r>
      <w:r w:rsidR="00736980">
        <w:rPr>
          <w:rFonts w:ascii="Arial" w:hAnsi="Arial" w:cs="Arial"/>
          <w:sz w:val="20"/>
          <w:szCs w:val="20"/>
        </w:rPr>
        <w:t>VND 5.0 billion each year</w:t>
      </w:r>
    </w:p>
    <w:p w:rsidR="00736980" w:rsidRDefault="003A3C66" w:rsidP="00F86F51">
      <w:pPr>
        <w:spacing w:line="360" w:lineRule="auto"/>
        <w:jc w:val="both"/>
        <w:rPr>
          <w:rFonts w:ascii="Arial" w:hAnsi="Arial" w:cs="Arial"/>
          <w:sz w:val="20"/>
          <w:szCs w:val="20"/>
        </w:rPr>
      </w:pPr>
      <w:r>
        <w:rPr>
          <w:rFonts w:ascii="Arial" w:hAnsi="Arial" w:cs="Arial"/>
          <w:sz w:val="20"/>
          <w:szCs w:val="20"/>
        </w:rPr>
        <w:t>+ The progress norms and</w:t>
      </w:r>
      <w:r w:rsidR="000358A0" w:rsidRPr="000358A0">
        <w:rPr>
          <w:rFonts w:ascii="Arial" w:hAnsi="Arial" w:cs="Arial"/>
          <w:sz w:val="20"/>
          <w:szCs w:val="20"/>
        </w:rPr>
        <w:t xml:space="preserve"> the quality of work </w:t>
      </w:r>
      <w:r w:rsidR="00736980">
        <w:rPr>
          <w:rFonts w:ascii="Arial" w:hAnsi="Arial" w:cs="Arial"/>
          <w:sz w:val="20"/>
          <w:szCs w:val="20"/>
        </w:rPr>
        <w:t xml:space="preserve">are </w:t>
      </w:r>
      <w:r w:rsidR="000358A0" w:rsidRPr="000358A0">
        <w:rPr>
          <w:rFonts w:ascii="Arial" w:hAnsi="Arial" w:cs="Arial"/>
          <w:sz w:val="20"/>
          <w:szCs w:val="20"/>
        </w:rPr>
        <w:t xml:space="preserve">always </w:t>
      </w:r>
      <w:r w:rsidR="00736980">
        <w:rPr>
          <w:rFonts w:ascii="Arial" w:hAnsi="Arial" w:cs="Arial"/>
          <w:sz w:val="20"/>
          <w:szCs w:val="20"/>
        </w:rPr>
        <w:t>put on top; s</w:t>
      </w:r>
      <w:r w:rsidR="000358A0" w:rsidRPr="000358A0">
        <w:rPr>
          <w:rFonts w:ascii="Arial" w:hAnsi="Arial" w:cs="Arial"/>
          <w:sz w:val="20"/>
          <w:szCs w:val="20"/>
        </w:rPr>
        <w:t xml:space="preserve">triving to achieve 100% </w:t>
      </w:r>
      <w:r w:rsidR="00736980">
        <w:rPr>
          <w:rFonts w:ascii="Arial" w:hAnsi="Arial" w:cs="Arial"/>
          <w:sz w:val="20"/>
          <w:szCs w:val="20"/>
        </w:rPr>
        <w:t xml:space="preserve">of the </w:t>
      </w:r>
      <w:r w:rsidR="000358A0" w:rsidRPr="000358A0">
        <w:rPr>
          <w:rFonts w:ascii="Arial" w:hAnsi="Arial" w:cs="Arial"/>
          <w:sz w:val="20"/>
          <w:szCs w:val="20"/>
        </w:rPr>
        <w:t>progress and quality required by the investo</w:t>
      </w:r>
      <w:r w:rsidR="00736980">
        <w:rPr>
          <w:rFonts w:ascii="Arial" w:hAnsi="Arial" w:cs="Arial"/>
          <w:sz w:val="20"/>
          <w:szCs w:val="20"/>
        </w:rPr>
        <w:t>r</w:t>
      </w:r>
    </w:p>
    <w:p w:rsidR="00736980" w:rsidRDefault="00736980" w:rsidP="00F86F51">
      <w:pPr>
        <w:spacing w:line="360" w:lineRule="auto"/>
        <w:jc w:val="both"/>
        <w:rPr>
          <w:rFonts w:ascii="Arial" w:hAnsi="Arial" w:cs="Arial"/>
          <w:sz w:val="20"/>
          <w:szCs w:val="20"/>
        </w:rPr>
      </w:pPr>
      <w:r>
        <w:rPr>
          <w:rFonts w:ascii="Arial" w:hAnsi="Arial" w:cs="Arial"/>
          <w:sz w:val="20"/>
          <w:szCs w:val="20"/>
        </w:rPr>
        <w:t>Regarding the plan on</w:t>
      </w:r>
      <w:r w:rsidR="000358A0" w:rsidRPr="000358A0">
        <w:rPr>
          <w:rFonts w:ascii="Arial" w:hAnsi="Arial" w:cs="Arial"/>
          <w:sz w:val="20"/>
          <w:szCs w:val="20"/>
        </w:rPr>
        <w:t xml:space="preserve"> increase </w:t>
      </w:r>
      <w:r>
        <w:rPr>
          <w:rFonts w:ascii="Arial" w:hAnsi="Arial" w:cs="Arial"/>
          <w:sz w:val="20"/>
          <w:szCs w:val="20"/>
        </w:rPr>
        <w:t xml:space="preserve">in </w:t>
      </w:r>
      <w:r w:rsidR="000358A0" w:rsidRPr="000358A0">
        <w:rPr>
          <w:rFonts w:ascii="Arial" w:hAnsi="Arial" w:cs="Arial"/>
          <w:sz w:val="20"/>
          <w:szCs w:val="20"/>
        </w:rPr>
        <w:t>charter capital, the Board of Directors is requested to base on the actual production and business activities, the market context, the financial situation and the capital demand for the Company's annual production and bus</w:t>
      </w:r>
      <w:r>
        <w:rPr>
          <w:rFonts w:ascii="Arial" w:hAnsi="Arial" w:cs="Arial"/>
          <w:sz w:val="20"/>
          <w:szCs w:val="20"/>
        </w:rPr>
        <w:t>iness, report the</w:t>
      </w:r>
      <w:r w:rsidR="000358A0" w:rsidRPr="000358A0">
        <w:rPr>
          <w:rFonts w:ascii="Arial" w:hAnsi="Arial" w:cs="Arial"/>
          <w:sz w:val="20"/>
          <w:szCs w:val="20"/>
        </w:rPr>
        <w:t xml:space="preserve"> Annual General Meeting of Shareholders for</w:t>
      </w:r>
      <w:r>
        <w:rPr>
          <w:rFonts w:ascii="Arial" w:hAnsi="Arial" w:cs="Arial"/>
          <w:sz w:val="20"/>
          <w:szCs w:val="20"/>
        </w:rPr>
        <w:t xml:space="preserve"> </w:t>
      </w:r>
      <w:r w:rsidR="000358A0" w:rsidRPr="000358A0">
        <w:rPr>
          <w:rFonts w:ascii="Arial" w:hAnsi="Arial" w:cs="Arial"/>
          <w:sz w:val="20"/>
          <w:szCs w:val="20"/>
        </w:rPr>
        <w:t>consideration and decisi</w:t>
      </w:r>
      <w:r>
        <w:rPr>
          <w:rFonts w:ascii="Arial" w:hAnsi="Arial" w:cs="Arial"/>
          <w:sz w:val="20"/>
          <w:szCs w:val="20"/>
        </w:rPr>
        <w:t>on according to its competence</w:t>
      </w:r>
    </w:p>
    <w:p w:rsidR="000358A0" w:rsidRDefault="00736980" w:rsidP="00F86F51">
      <w:pPr>
        <w:spacing w:line="360" w:lineRule="auto"/>
        <w:jc w:val="both"/>
        <w:rPr>
          <w:rFonts w:ascii="Arial" w:hAnsi="Arial" w:cs="Arial"/>
          <w:sz w:val="20"/>
          <w:szCs w:val="20"/>
        </w:rPr>
      </w:pPr>
      <w:r>
        <w:rPr>
          <w:rFonts w:ascii="Arial" w:hAnsi="Arial" w:cs="Arial"/>
          <w:sz w:val="20"/>
          <w:szCs w:val="20"/>
        </w:rPr>
        <w:t>Article 4: Approve the summary report on activities in</w:t>
      </w:r>
      <w:r w:rsidR="000358A0" w:rsidRPr="000358A0">
        <w:rPr>
          <w:rFonts w:ascii="Arial" w:hAnsi="Arial" w:cs="Arial"/>
          <w:sz w:val="20"/>
          <w:szCs w:val="20"/>
        </w:rPr>
        <w:t xml:space="preserve"> the term of 2015-2020 and operational direction for the term of 2020</w:t>
      </w:r>
      <w:r>
        <w:rPr>
          <w:rFonts w:ascii="Arial" w:hAnsi="Arial" w:cs="Arial"/>
          <w:sz w:val="20"/>
          <w:szCs w:val="20"/>
        </w:rPr>
        <w:t>-2025 of the Supervisory Board</w:t>
      </w:r>
    </w:p>
    <w:p w:rsidR="00736980" w:rsidRDefault="00736980" w:rsidP="00736980">
      <w:pPr>
        <w:spacing w:line="360" w:lineRule="auto"/>
        <w:jc w:val="both"/>
        <w:rPr>
          <w:rFonts w:ascii="Arial" w:hAnsi="Arial" w:cs="Arial"/>
          <w:sz w:val="20"/>
          <w:szCs w:val="20"/>
        </w:rPr>
      </w:pPr>
      <w:r>
        <w:rPr>
          <w:rFonts w:ascii="Arial" w:hAnsi="Arial" w:cs="Arial"/>
          <w:sz w:val="20"/>
          <w:szCs w:val="20"/>
        </w:rPr>
        <w:t>Article 5:</w:t>
      </w:r>
      <w:r w:rsidRPr="00736980">
        <w:rPr>
          <w:rFonts w:ascii="Arial" w:hAnsi="Arial" w:cs="Arial"/>
          <w:sz w:val="20"/>
          <w:szCs w:val="20"/>
        </w:rPr>
        <w:t xml:space="preserve"> Approve the 2019 </w:t>
      </w:r>
      <w:r>
        <w:rPr>
          <w:rFonts w:ascii="Arial" w:hAnsi="Arial" w:cs="Arial"/>
          <w:sz w:val="20"/>
          <w:szCs w:val="20"/>
        </w:rPr>
        <w:t>financial statement</w:t>
      </w:r>
      <w:r w:rsidRPr="00736980">
        <w:rPr>
          <w:rFonts w:ascii="Arial" w:hAnsi="Arial" w:cs="Arial"/>
          <w:sz w:val="20"/>
          <w:szCs w:val="20"/>
        </w:rPr>
        <w:t xml:space="preserve"> audited by </w:t>
      </w:r>
      <w:proofErr w:type="spellStart"/>
      <w:r w:rsidRPr="00736980">
        <w:rPr>
          <w:rFonts w:ascii="Arial" w:hAnsi="Arial" w:cs="Arial"/>
          <w:sz w:val="20"/>
          <w:szCs w:val="20"/>
        </w:rPr>
        <w:t>Nhan</w:t>
      </w:r>
      <w:proofErr w:type="spellEnd"/>
      <w:r w:rsidRPr="00736980">
        <w:rPr>
          <w:rFonts w:ascii="Arial" w:hAnsi="Arial" w:cs="Arial"/>
          <w:sz w:val="20"/>
          <w:szCs w:val="20"/>
        </w:rPr>
        <w:t xml:space="preserve"> Ta</w:t>
      </w:r>
      <w:r>
        <w:rPr>
          <w:rFonts w:ascii="Arial" w:hAnsi="Arial" w:cs="Arial"/>
          <w:sz w:val="20"/>
          <w:szCs w:val="20"/>
        </w:rPr>
        <w:t>m Viet Auditing Company Limited</w:t>
      </w:r>
    </w:p>
    <w:p w:rsidR="00736980" w:rsidRDefault="00736980" w:rsidP="00736980">
      <w:pPr>
        <w:spacing w:line="360" w:lineRule="auto"/>
        <w:jc w:val="both"/>
        <w:rPr>
          <w:rFonts w:ascii="Arial" w:hAnsi="Arial" w:cs="Arial"/>
          <w:sz w:val="20"/>
          <w:szCs w:val="20"/>
        </w:rPr>
      </w:pPr>
      <w:r>
        <w:rPr>
          <w:rFonts w:ascii="Arial" w:hAnsi="Arial" w:cs="Arial"/>
          <w:sz w:val="20"/>
          <w:szCs w:val="20"/>
        </w:rPr>
        <w:t>Article 6: Approving the plan on profit distribution for</w:t>
      </w:r>
      <w:r w:rsidRPr="00736980">
        <w:rPr>
          <w:rFonts w:ascii="Arial" w:hAnsi="Arial" w:cs="Arial"/>
          <w:sz w:val="20"/>
          <w:szCs w:val="20"/>
        </w:rPr>
        <w:t xml:space="preserve"> 2019 and the annual </w:t>
      </w:r>
      <w:r>
        <w:rPr>
          <w:rFonts w:ascii="Arial" w:hAnsi="Arial" w:cs="Arial"/>
          <w:sz w:val="20"/>
          <w:szCs w:val="20"/>
        </w:rPr>
        <w:t xml:space="preserve">plan on finance and profit distribution for </w:t>
      </w:r>
      <w:r w:rsidRPr="00736980">
        <w:rPr>
          <w:rFonts w:ascii="Arial" w:hAnsi="Arial" w:cs="Arial"/>
          <w:sz w:val="20"/>
          <w:szCs w:val="20"/>
        </w:rPr>
        <w:t xml:space="preserve">2020, specifically as follows: </w:t>
      </w:r>
    </w:p>
    <w:p w:rsidR="00736980" w:rsidRDefault="00736980" w:rsidP="00736980">
      <w:pPr>
        <w:spacing w:line="360" w:lineRule="auto"/>
        <w:jc w:val="both"/>
        <w:rPr>
          <w:rFonts w:ascii="Arial" w:hAnsi="Arial" w:cs="Arial"/>
          <w:sz w:val="20"/>
          <w:szCs w:val="20"/>
        </w:rPr>
      </w:pPr>
      <w:r w:rsidRPr="00736980">
        <w:rPr>
          <w:rFonts w:ascii="Arial" w:hAnsi="Arial" w:cs="Arial"/>
          <w:sz w:val="20"/>
          <w:szCs w:val="20"/>
        </w:rPr>
        <w:t>1. Details of</w:t>
      </w:r>
      <w:r>
        <w:rPr>
          <w:rFonts w:ascii="Arial" w:hAnsi="Arial" w:cs="Arial"/>
          <w:sz w:val="20"/>
          <w:szCs w:val="20"/>
        </w:rPr>
        <w:t xml:space="preserve"> the profit distribution plan for</w:t>
      </w:r>
      <w:r w:rsidRPr="00736980">
        <w:rPr>
          <w:rFonts w:ascii="Arial" w:hAnsi="Arial" w:cs="Arial"/>
          <w:sz w:val="20"/>
          <w:szCs w:val="20"/>
        </w:rPr>
        <w:t xml:space="preserve"> 2019: </w:t>
      </w:r>
    </w:p>
    <w:tbl>
      <w:tblPr>
        <w:tblStyle w:val="TableGrid"/>
        <w:tblW w:w="0" w:type="auto"/>
        <w:tblLook w:val="04A0" w:firstRow="1" w:lastRow="0" w:firstColumn="1" w:lastColumn="0" w:noHBand="0" w:noVBand="1"/>
      </w:tblPr>
      <w:tblGrid>
        <w:gridCol w:w="472"/>
        <w:gridCol w:w="4318"/>
        <w:gridCol w:w="2393"/>
        <w:gridCol w:w="2393"/>
      </w:tblGrid>
      <w:tr w:rsidR="00736980" w:rsidTr="00736980">
        <w:tc>
          <w:tcPr>
            <w:tcW w:w="472"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No</w:t>
            </w:r>
          </w:p>
        </w:tc>
        <w:tc>
          <w:tcPr>
            <w:tcW w:w="4318"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Indicator</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Unit</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Realization in 2019</w:t>
            </w:r>
          </w:p>
        </w:tc>
      </w:tr>
      <w:tr w:rsidR="00736980" w:rsidTr="00736980">
        <w:tc>
          <w:tcPr>
            <w:tcW w:w="472" w:type="dxa"/>
          </w:tcPr>
          <w:p w:rsidR="00736980" w:rsidRDefault="00736980" w:rsidP="00736980">
            <w:pPr>
              <w:spacing w:line="360" w:lineRule="auto"/>
              <w:jc w:val="both"/>
              <w:rPr>
                <w:rFonts w:ascii="Arial" w:hAnsi="Arial" w:cs="Arial"/>
                <w:sz w:val="20"/>
                <w:szCs w:val="20"/>
              </w:rPr>
            </w:pPr>
          </w:p>
        </w:tc>
        <w:tc>
          <w:tcPr>
            <w:tcW w:w="4318"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Profit for distribution</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VND thousand</w:t>
            </w:r>
          </w:p>
        </w:tc>
        <w:tc>
          <w:tcPr>
            <w:tcW w:w="2393" w:type="dxa"/>
          </w:tcPr>
          <w:p w:rsidR="00736980" w:rsidRDefault="00736980" w:rsidP="00736980">
            <w:pPr>
              <w:spacing w:line="360" w:lineRule="auto"/>
              <w:jc w:val="both"/>
              <w:rPr>
                <w:rFonts w:ascii="Arial" w:hAnsi="Arial" w:cs="Arial"/>
                <w:sz w:val="20"/>
                <w:szCs w:val="20"/>
              </w:rPr>
            </w:pPr>
            <w:r w:rsidRPr="00736980">
              <w:rPr>
                <w:rFonts w:ascii="Arial" w:hAnsi="Arial" w:cs="Arial"/>
                <w:sz w:val="20"/>
                <w:szCs w:val="20"/>
              </w:rPr>
              <w:t>5,402,431</w:t>
            </w:r>
          </w:p>
        </w:tc>
      </w:tr>
      <w:tr w:rsidR="00736980" w:rsidTr="00736980">
        <w:tc>
          <w:tcPr>
            <w:tcW w:w="472"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1</w:t>
            </w:r>
          </w:p>
        </w:tc>
        <w:tc>
          <w:tcPr>
            <w:tcW w:w="4318"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Extraction to</w:t>
            </w:r>
            <w:r w:rsidRPr="00736980">
              <w:rPr>
                <w:rFonts w:ascii="Arial" w:hAnsi="Arial" w:cs="Arial"/>
                <w:sz w:val="20"/>
                <w:szCs w:val="20"/>
              </w:rPr>
              <w:t xml:space="preserve"> Bonus and Welfare Fund </w:t>
            </w:r>
            <w:r>
              <w:rPr>
                <w:rFonts w:ascii="Arial" w:hAnsi="Arial" w:cs="Arial"/>
                <w:sz w:val="20"/>
                <w:szCs w:val="20"/>
              </w:rPr>
              <w:t>(</w:t>
            </w:r>
            <w:r w:rsidRPr="00736980">
              <w:rPr>
                <w:rFonts w:ascii="Arial" w:hAnsi="Arial" w:cs="Arial"/>
                <w:sz w:val="20"/>
                <w:szCs w:val="20"/>
              </w:rPr>
              <w:t>10% of profit after tax</w:t>
            </w:r>
            <w:r>
              <w:rPr>
                <w:rFonts w:ascii="Arial" w:hAnsi="Arial" w:cs="Arial"/>
                <w:sz w:val="20"/>
                <w:szCs w:val="20"/>
              </w:rPr>
              <w:t>)</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VND thousand</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540,243.1</w:t>
            </w:r>
          </w:p>
        </w:tc>
      </w:tr>
      <w:tr w:rsidR="00736980" w:rsidTr="00736980">
        <w:tc>
          <w:tcPr>
            <w:tcW w:w="472"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2</w:t>
            </w:r>
          </w:p>
        </w:tc>
        <w:tc>
          <w:tcPr>
            <w:tcW w:w="4318"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 xml:space="preserve">Extraction to the </w:t>
            </w:r>
            <w:r w:rsidRPr="00736980">
              <w:rPr>
                <w:rFonts w:ascii="Arial" w:hAnsi="Arial" w:cs="Arial"/>
                <w:sz w:val="20"/>
                <w:szCs w:val="20"/>
              </w:rPr>
              <w:t xml:space="preserve">Development investment </w:t>
            </w:r>
            <w:r>
              <w:rPr>
                <w:rFonts w:ascii="Arial" w:hAnsi="Arial" w:cs="Arial"/>
                <w:sz w:val="20"/>
                <w:szCs w:val="20"/>
              </w:rPr>
              <w:lastRenderedPageBreak/>
              <w:t>(</w:t>
            </w:r>
            <w:r w:rsidRPr="00736980">
              <w:rPr>
                <w:rFonts w:ascii="Arial" w:hAnsi="Arial" w:cs="Arial"/>
                <w:sz w:val="20"/>
                <w:szCs w:val="20"/>
              </w:rPr>
              <w:t>20% of profit</w:t>
            </w:r>
            <w:r>
              <w:rPr>
                <w:rFonts w:ascii="Arial" w:hAnsi="Arial" w:cs="Arial"/>
                <w:sz w:val="20"/>
                <w:szCs w:val="20"/>
              </w:rPr>
              <w:t xml:space="preserve"> after tax)</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lastRenderedPageBreak/>
              <w:t>VND thousand</w:t>
            </w:r>
          </w:p>
        </w:tc>
        <w:tc>
          <w:tcPr>
            <w:tcW w:w="2393" w:type="dxa"/>
          </w:tcPr>
          <w:p w:rsidR="00736980" w:rsidRDefault="00736980" w:rsidP="00736980">
            <w:pPr>
              <w:spacing w:line="360" w:lineRule="auto"/>
              <w:jc w:val="both"/>
              <w:rPr>
                <w:rFonts w:ascii="Arial" w:hAnsi="Arial" w:cs="Arial"/>
                <w:sz w:val="20"/>
                <w:szCs w:val="20"/>
              </w:rPr>
            </w:pPr>
            <w:r w:rsidRPr="00736980">
              <w:rPr>
                <w:rFonts w:ascii="Arial" w:hAnsi="Arial" w:cs="Arial"/>
                <w:sz w:val="20"/>
                <w:szCs w:val="20"/>
              </w:rPr>
              <w:t>1,080,486</w:t>
            </w:r>
            <w:r>
              <w:rPr>
                <w:rFonts w:ascii="Arial" w:hAnsi="Arial" w:cs="Arial"/>
                <w:sz w:val="20"/>
                <w:szCs w:val="20"/>
              </w:rPr>
              <w:t>.2</w:t>
            </w:r>
          </w:p>
        </w:tc>
      </w:tr>
      <w:tr w:rsidR="00736980" w:rsidTr="00736980">
        <w:tc>
          <w:tcPr>
            <w:tcW w:w="472"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lastRenderedPageBreak/>
              <w:t>3</w:t>
            </w:r>
          </w:p>
        </w:tc>
        <w:tc>
          <w:tcPr>
            <w:tcW w:w="4318"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Dividend payment (70% of after-tax profit)</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VND thousand</w:t>
            </w:r>
          </w:p>
        </w:tc>
        <w:tc>
          <w:tcPr>
            <w:tcW w:w="2393" w:type="dxa"/>
          </w:tcPr>
          <w:p w:rsidR="00736980" w:rsidRDefault="00736980" w:rsidP="00736980">
            <w:pPr>
              <w:spacing w:line="360" w:lineRule="auto"/>
              <w:jc w:val="both"/>
              <w:rPr>
                <w:rFonts w:ascii="Arial" w:hAnsi="Arial" w:cs="Arial"/>
                <w:sz w:val="20"/>
                <w:szCs w:val="20"/>
              </w:rPr>
            </w:pPr>
            <w:r>
              <w:rPr>
                <w:rFonts w:ascii="Arial" w:hAnsi="Arial" w:cs="Arial"/>
                <w:sz w:val="20"/>
                <w:szCs w:val="20"/>
              </w:rPr>
              <w:t>3,781,701.7</w:t>
            </w:r>
          </w:p>
        </w:tc>
      </w:tr>
    </w:tbl>
    <w:p w:rsidR="00736980" w:rsidRDefault="00736980" w:rsidP="00736980">
      <w:pPr>
        <w:spacing w:line="360" w:lineRule="auto"/>
        <w:jc w:val="both"/>
        <w:rPr>
          <w:rFonts w:ascii="Arial" w:hAnsi="Arial" w:cs="Arial"/>
          <w:sz w:val="20"/>
          <w:szCs w:val="20"/>
        </w:rPr>
      </w:pPr>
    </w:p>
    <w:p w:rsidR="003E217D" w:rsidRDefault="003E217D" w:rsidP="00736980">
      <w:pPr>
        <w:spacing w:line="360" w:lineRule="auto"/>
        <w:jc w:val="both"/>
        <w:rPr>
          <w:rFonts w:ascii="Arial" w:hAnsi="Arial" w:cs="Arial"/>
          <w:sz w:val="20"/>
          <w:szCs w:val="20"/>
        </w:rPr>
      </w:pPr>
      <w:r>
        <w:rPr>
          <w:rFonts w:ascii="Arial" w:hAnsi="Arial" w:cs="Arial"/>
          <w:sz w:val="20"/>
          <w:szCs w:val="20"/>
        </w:rPr>
        <w:t>Dividend/ equity ratio:</w:t>
      </w:r>
      <w:r w:rsidR="00736980" w:rsidRPr="00736980">
        <w:rPr>
          <w:rFonts w:ascii="Arial" w:hAnsi="Arial" w:cs="Arial"/>
          <w:sz w:val="20"/>
          <w:szCs w:val="20"/>
        </w:rPr>
        <w:t xml:space="preserve"> 25.21%</w:t>
      </w:r>
      <w:r>
        <w:rPr>
          <w:rFonts w:ascii="Arial" w:hAnsi="Arial" w:cs="Arial"/>
          <w:sz w:val="20"/>
          <w:szCs w:val="20"/>
        </w:rPr>
        <w:t>,</w:t>
      </w:r>
      <w:r w:rsidR="00736980" w:rsidRPr="00736980">
        <w:rPr>
          <w:rFonts w:ascii="Arial" w:hAnsi="Arial" w:cs="Arial"/>
          <w:sz w:val="20"/>
          <w:szCs w:val="20"/>
        </w:rPr>
        <w:t xml:space="preserve"> equi</w:t>
      </w:r>
      <w:r>
        <w:rPr>
          <w:rFonts w:ascii="Arial" w:hAnsi="Arial" w:cs="Arial"/>
          <w:sz w:val="20"/>
          <w:szCs w:val="20"/>
        </w:rPr>
        <w:t>valent to the rate of payment of 25.21%</w:t>
      </w:r>
      <w:r w:rsidR="00736980" w:rsidRPr="00736980">
        <w:rPr>
          <w:rFonts w:ascii="Arial" w:hAnsi="Arial" w:cs="Arial"/>
          <w:sz w:val="20"/>
          <w:szCs w:val="20"/>
        </w:rPr>
        <w:t>/ share (01 share r</w:t>
      </w:r>
      <w:r>
        <w:rPr>
          <w:rFonts w:ascii="Arial" w:hAnsi="Arial" w:cs="Arial"/>
          <w:sz w:val="20"/>
          <w:szCs w:val="20"/>
        </w:rPr>
        <w:t>eceives</w:t>
      </w:r>
      <w:r w:rsidR="00736980" w:rsidRPr="00736980">
        <w:rPr>
          <w:rFonts w:ascii="Arial" w:hAnsi="Arial" w:cs="Arial"/>
          <w:sz w:val="20"/>
          <w:szCs w:val="20"/>
        </w:rPr>
        <w:t xml:space="preserve"> </w:t>
      </w:r>
      <w:r>
        <w:rPr>
          <w:rFonts w:ascii="Arial" w:hAnsi="Arial" w:cs="Arial"/>
          <w:sz w:val="20"/>
          <w:szCs w:val="20"/>
        </w:rPr>
        <w:t>VND 2,521)</w:t>
      </w:r>
    </w:p>
    <w:p w:rsidR="003E217D" w:rsidRDefault="00736980" w:rsidP="00736980">
      <w:pPr>
        <w:spacing w:line="360" w:lineRule="auto"/>
        <w:jc w:val="both"/>
        <w:rPr>
          <w:rFonts w:ascii="Arial" w:hAnsi="Arial" w:cs="Arial"/>
          <w:sz w:val="20"/>
          <w:szCs w:val="20"/>
        </w:rPr>
      </w:pPr>
      <w:r w:rsidRPr="00736980">
        <w:rPr>
          <w:rFonts w:ascii="Arial" w:hAnsi="Arial" w:cs="Arial"/>
          <w:sz w:val="20"/>
          <w:szCs w:val="20"/>
        </w:rPr>
        <w:t xml:space="preserve">Payment time: within 6 months from the end of the </w:t>
      </w:r>
      <w:r w:rsidR="003E217D">
        <w:rPr>
          <w:rFonts w:ascii="Arial" w:hAnsi="Arial" w:cs="Arial"/>
          <w:sz w:val="20"/>
          <w:szCs w:val="20"/>
        </w:rPr>
        <w:t xml:space="preserve">annual General Meeting of Shareholders </w:t>
      </w:r>
    </w:p>
    <w:p w:rsidR="00736980" w:rsidRDefault="00736980" w:rsidP="00736980">
      <w:pPr>
        <w:spacing w:line="360" w:lineRule="auto"/>
        <w:jc w:val="both"/>
        <w:rPr>
          <w:rFonts w:ascii="Arial" w:hAnsi="Arial" w:cs="Arial"/>
          <w:sz w:val="20"/>
          <w:szCs w:val="20"/>
        </w:rPr>
      </w:pPr>
      <w:r w:rsidRPr="00736980">
        <w:rPr>
          <w:rFonts w:ascii="Arial" w:hAnsi="Arial" w:cs="Arial"/>
          <w:sz w:val="20"/>
          <w:szCs w:val="20"/>
        </w:rPr>
        <w:t>2. Expected details of the fina</w:t>
      </w:r>
      <w:r w:rsidR="003E217D">
        <w:rPr>
          <w:rFonts w:ascii="Arial" w:hAnsi="Arial" w:cs="Arial"/>
          <w:sz w:val="20"/>
          <w:szCs w:val="20"/>
        </w:rPr>
        <w:t xml:space="preserve">ncial plan for 2020: </w:t>
      </w:r>
    </w:p>
    <w:tbl>
      <w:tblPr>
        <w:tblStyle w:val="TableGrid"/>
        <w:tblW w:w="0" w:type="auto"/>
        <w:tblLook w:val="04A0" w:firstRow="1" w:lastRow="0" w:firstColumn="1" w:lastColumn="0" w:noHBand="0" w:noVBand="1"/>
      </w:tblPr>
      <w:tblGrid>
        <w:gridCol w:w="558"/>
        <w:gridCol w:w="4230"/>
        <w:gridCol w:w="2394"/>
        <w:gridCol w:w="2394"/>
      </w:tblGrid>
      <w:tr w:rsidR="003E217D" w:rsidTr="003E217D">
        <w:tc>
          <w:tcPr>
            <w:tcW w:w="558"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No</w:t>
            </w:r>
          </w:p>
        </w:tc>
        <w:tc>
          <w:tcPr>
            <w:tcW w:w="4230"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Unit</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Plan 2020</w:t>
            </w:r>
          </w:p>
        </w:tc>
      </w:tr>
      <w:tr w:rsidR="003E217D" w:rsidTr="003E217D">
        <w:tc>
          <w:tcPr>
            <w:tcW w:w="558"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1</w:t>
            </w:r>
          </w:p>
        </w:tc>
        <w:tc>
          <w:tcPr>
            <w:tcW w:w="4230"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Charter capital</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VND thousand</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15,000,000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2</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Total revenue</w:t>
            </w:r>
          </w:p>
        </w:tc>
        <w:tc>
          <w:tcPr>
            <w:tcW w:w="2394" w:type="dxa"/>
          </w:tcPr>
          <w:p w:rsidR="003E217D" w:rsidRDefault="003E217D" w:rsidP="003E217D">
            <w:r w:rsidRPr="00BA1DFC">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75,500,000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3</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Total expense</w:t>
            </w:r>
          </w:p>
        </w:tc>
        <w:tc>
          <w:tcPr>
            <w:tcW w:w="2394" w:type="dxa"/>
          </w:tcPr>
          <w:p w:rsidR="003E217D" w:rsidRDefault="003E217D" w:rsidP="003E217D">
            <w:r w:rsidRPr="00BA1DFC">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67,950,000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4</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 xml:space="preserve">Profit before tax </w:t>
            </w:r>
          </w:p>
        </w:tc>
        <w:tc>
          <w:tcPr>
            <w:tcW w:w="2394" w:type="dxa"/>
          </w:tcPr>
          <w:p w:rsidR="003E217D" w:rsidRDefault="003E217D" w:rsidP="003E217D">
            <w:r w:rsidRPr="00BA1DFC">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7,550,000</w:t>
            </w:r>
          </w:p>
        </w:tc>
      </w:tr>
      <w:tr w:rsidR="003E217D" w:rsidTr="003E217D">
        <w:tc>
          <w:tcPr>
            <w:tcW w:w="558"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5</w:t>
            </w:r>
          </w:p>
        </w:tc>
        <w:tc>
          <w:tcPr>
            <w:tcW w:w="4230"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 xml:space="preserve">After-tax profit </w:t>
            </w:r>
          </w:p>
        </w:tc>
        <w:tc>
          <w:tcPr>
            <w:tcW w:w="2394" w:type="dxa"/>
          </w:tcPr>
          <w:p w:rsidR="003E217D" w:rsidRDefault="003E217D" w:rsidP="00736980">
            <w:pPr>
              <w:spacing w:line="360" w:lineRule="auto"/>
              <w:jc w:val="both"/>
              <w:rPr>
                <w:rFonts w:ascii="Arial" w:hAnsi="Arial" w:cs="Arial"/>
                <w:sz w:val="20"/>
                <w:szCs w:val="20"/>
              </w:rPr>
            </w:pPr>
            <w:r w:rsidRPr="00BA1DFC">
              <w:rPr>
                <w:rFonts w:ascii="Arial" w:hAnsi="Arial" w:cs="Arial"/>
                <w:sz w:val="20"/>
                <w:szCs w:val="20"/>
              </w:rPr>
              <w:t>VND thousand</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6,040,000</w:t>
            </w:r>
          </w:p>
        </w:tc>
      </w:tr>
      <w:tr w:rsidR="003E217D" w:rsidTr="003E217D">
        <w:tc>
          <w:tcPr>
            <w:tcW w:w="558"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6</w:t>
            </w:r>
          </w:p>
        </w:tc>
        <w:tc>
          <w:tcPr>
            <w:tcW w:w="4230"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Profit/ charter capital</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w:t>
            </w:r>
          </w:p>
        </w:tc>
        <w:tc>
          <w:tcPr>
            <w:tcW w:w="2394" w:type="dxa"/>
          </w:tcPr>
          <w:p w:rsidR="003E217D" w:rsidRDefault="003E217D" w:rsidP="00736980">
            <w:pPr>
              <w:spacing w:line="360" w:lineRule="auto"/>
              <w:jc w:val="both"/>
              <w:rPr>
                <w:rFonts w:ascii="Arial" w:hAnsi="Arial" w:cs="Arial"/>
                <w:sz w:val="20"/>
                <w:szCs w:val="20"/>
              </w:rPr>
            </w:pPr>
            <w:r>
              <w:rPr>
                <w:rFonts w:ascii="Arial" w:hAnsi="Arial" w:cs="Arial"/>
                <w:sz w:val="20"/>
                <w:szCs w:val="20"/>
              </w:rPr>
              <w:t>40.27%</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7</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Profit for distribution</w:t>
            </w:r>
          </w:p>
        </w:tc>
        <w:tc>
          <w:tcPr>
            <w:tcW w:w="2394" w:type="dxa"/>
          </w:tcPr>
          <w:p w:rsidR="003E217D" w:rsidRDefault="003E217D" w:rsidP="003E217D">
            <w:r w:rsidRPr="0007065A">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6,040,000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Welfare and Reward Fund 10%</w:t>
            </w:r>
          </w:p>
        </w:tc>
        <w:tc>
          <w:tcPr>
            <w:tcW w:w="2394" w:type="dxa"/>
          </w:tcPr>
          <w:p w:rsidR="003E217D" w:rsidRDefault="003E217D" w:rsidP="003E217D">
            <w:r w:rsidRPr="0007065A">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604,000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Investment and Development Fund 20%</w:t>
            </w:r>
          </w:p>
        </w:tc>
        <w:tc>
          <w:tcPr>
            <w:tcW w:w="2394" w:type="dxa"/>
          </w:tcPr>
          <w:p w:rsidR="003E217D" w:rsidRDefault="003E217D" w:rsidP="003E217D">
            <w:r w:rsidRPr="0007065A">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1,208,000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Dividend payment 70%</w:t>
            </w:r>
          </w:p>
        </w:tc>
        <w:tc>
          <w:tcPr>
            <w:tcW w:w="2394" w:type="dxa"/>
          </w:tcPr>
          <w:p w:rsidR="003E217D" w:rsidRPr="0007065A" w:rsidRDefault="003E217D" w:rsidP="003E217D">
            <w:pPr>
              <w:rPr>
                <w:rFonts w:ascii="Arial" w:hAnsi="Arial" w:cs="Arial"/>
                <w:sz w:val="20"/>
                <w:szCs w:val="20"/>
              </w:rPr>
            </w:pPr>
            <w:r w:rsidRPr="00BA1DFC">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4,228,000</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8</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Dividend payment/ the equity</w:t>
            </w:r>
          </w:p>
        </w:tc>
        <w:tc>
          <w:tcPr>
            <w:tcW w:w="2394" w:type="dxa"/>
          </w:tcPr>
          <w:p w:rsidR="003E217D" w:rsidRPr="0007065A" w:rsidRDefault="003E217D" w:rsidP="003E217D">
            <w:pPr>
              <w:rPr>
                <w:rFonts w:ascii="Arial" w:hAnsi="Arial" w:cs="Arial"/>
                <w:sz w:val="20"/>
                <w:szCs w:val="20"/>
              </w:rPr>
            </w:pPr>
            <w:r>
              <w:rPr>
                <w:rFonts w:ascii="Arial" w:hAnsi="Arial" w:cs="Arial"/>
                <w:sz w:val="20"/>
                <w:szCs w:val="20"/>
              </w:rPr>
              <w:t>%</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28.19%</w:t>
            </w:r>
          </w:p>
        </w:tc>
      </w:tr>
      <w:tr w:rsidR="003E217D" w:rsidTr="003E217D">
        <w:tc>
          <w:tcPr>
            <w:tcW w:w="558"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9</w:t>
            </w:r>
          </w:p>
        </w:tc>
        <w:tc>
          <w:tcPr>
            <w:tcW w:w="4230"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Average income/ person/ month</w:t>
            </w:r>
          </w:p>
        </w:tc>
        <w:tc>
          <w:tcPr>
            <w:tcW w:w="2394" w:type="dxa"/>
          </w:tcPr>
          <w:p w:rsidR="003E217D" w:rsidRPr="0007065A" w:rsidRDefault="003E217D" w:rsidP="003E217D">
            <w:pPr>
              <w:rPr>
                <w:rFonts w:ascii="Arial" w:hAnsi="Arial" w:cs="Arial"/>
                <w:sz w:val="20"/>
                <w:szCs w:val="20"/>
              </w:rPr>
            </w:pPr>
            <w:r w:rsidRPr="00BA1DFC">
              <w:rPr>
                <w:rFonts w:ascii="Arial" w:hAnsi="Arial" w:cs="Arial"/>
                <w:sz w:val="20"/>
                <w:szCs w:val="20"/>
              </w:rPr>
              <w:t>VND thousand</w:t>
            </w:r>
          </w:p>
        </w:tc>
        <w:tc>
          <w:tcPr>
            <w:tcW w:w="2394" w:type="dxa"/>
          </w:tcPr>
          <w:p w:rsidR="003E217D" w:rsidRDefault="003E217D" w:rsidP="003E217D">
            <w:pPr>
              <w:spacing w:line="360" w:lineRule="auto"/>
              <w:jc w:val="both"/>
              <w:rPr>
                <w:rFonts w:ascii="Arial" w:hAnsi="Arial" w:cs="Arial"/>
                <w:sz w:val="20"/>
                <w:szCs w:val="20"/>
              </w:rPr>
            </w:pPr>
            <w:r>
              <w:rPr>
                <w:rFonts w:ascii="Arial" w:hAnsi="Arial" w:cs="Arial"/>
                <w:sz w:val="20"/>
                <w:szCs w:val="20"/>
              </w:rPr>
              <w:t>15,000</w:t>
            </w:r>
          </w:p>
        </w:tc>
      </w:tr>
    </w:tbl>
    <w:p w:rsidR="003E217D" w:rsidRDefault="003E217D" w:rsidP="00736980">
      <w:pPr>
        <w:spacing w:line="360" w:lineRule="auto"/>
        <w:jc w:val="both"/>
        <w:rPr>
          <w:rFonts w:ascii="Arial" w:hAnsi="Arial" w:cs="Arial"/>
          <w:sz w:val="20"/>
          <w:szCs w:val="20"/>
        </w:rPr>
      </w:pPr>
    </w:p>
    <w:p w:rsidR="003E217D" w:rsidRDefault="003E217D" w:rsidP="00736980">
      <w:pPr>
        <w:spacing w:line="360" w:lineRule="auto"/>
        <w:jc w:val="both"/>
        <w:rPr>
          <w:rFonts w:ascii="Arial" w:hAnsi="Arial" w:cs="Arial"/>
          <w:sz w:val="20"/>
          <w:szCs w:val="20"/>
        </w:rPr>
      </w:pPr>
      <w:r>
        <w:rPr>
          <w:rFonts w:ascii="Arial" w:hAnsi="Arial" w:cs="Arial"/>
          <w:sz w:val="20"/>
          <w:szCs w:val="20"/>
        </w:rPr>
        <w:t>Article 7:</w:t>
      </w:r>
      <w:r w:rsidRPr="003E217D">
        <w:rPr>
          <w:rFonts w:ascii="Arial" w:hAnsi="Arial" w:cs="Arial"/>
          <w:sz w:val="20"/>
          <w:szCs w:val="20"/>
        </w:rPr>
        <w:t xml:space="preserve"> </w:t>
      </w:r>
      <w:r>
        <w:rPr>
          <w:rFonts w:ascii="Arial" w:hAnsi="Arial" w:cs="Arial"/>
          <w:sz w:val="20"/>
          <w:szCs w:val="20"/>
        </w:rPr>
        <w:t>Approve the remuneration for</w:t>
      </w:r>
      <w:r w:rsidRPr="003E217D">
        <w:rPr>
          <w:rFonts w:ascii="Arial" w:hAnsi="Arial" w:cs="Arial"/>
          <w:sz w:val="20"/>
          <w:szCs w:val="20"/>
        </w:rPr>
        <w:t xml:space="preserve"> </w:t>
      </w:r>
      <w:r>
        <w:rPr>
          <w:rFonts w:ascii="Arial" w:hAnsi="Arial" w:cs="Arial"/>
          <w:sz w:val="20"/>
          <w:szCs w:val="20"/>
        </w:rPr>
        <w:t xml:space="preserve">members of the </w:t>
      </w:r>
      <w:r w:rsidRPr="003E217D">
        <w:rPr>
          <w:rFonts w:ascii="Arial" w:hAnsi="Arial" w:cs="Arial"/>
          <w:sz w:val="20"/>
          <w:szCs w:val="20"/>
        </w:rPr>
        <w:t xml:space="preserve">Board of Directors and the Supervisory Board in 2020 as follows: </w:t>
      </w:r>
    </w:p>
    <w:p w:rsidR="003E217D" w:rsidRDefault="003E217D" w:rsidP="00736980">
      <w:pPr>
        <w:spacing w:line="360" w:lineRule="auto"/>
        <w:jc w:val="both"/>
        <w:rPr>
          <w:rFonts w:ascii="Arial" w:hAnsi="Arial" w:cs="Arial"/>
          <w:sz w:val="20"/>
          <w:szCs w:val="20"/>
        </w:rPr>
      </w:pPr>
      <w:r w:rsidRPr="003E217D">
        <w:rPr>
          <w:rFonts w:ascii="Arial" w:hAnsi="Arial" w:cs="Arial"/>
          <w:sz w:val="20"/>
          <w:szCs w:val="20"/>
        </w:rPr>
        <w:t>1. Remuneration for the Chairman of the Board of Directors: VND 5,000,000</w:t>
      </w:r>
      <w:r>
        <w:rPr>
          <w:rFonts w:ascii="Arial" w:hAnsi="Arial" w:cs="Arial"/>
          <w:sz w:val="20"/>
          <w:szCs w:val="20"/>
        </w:rPr>
        <w:t>/ month</w:t>
      </w:r>
    </w:p>
    <w:p w:rsidR="003E217D" w:rsidRDefault="003E217D" w:rsidP="00736980">
      <w:pPr>
        <w:spacing w:line="360" w:lineRule="auto"/>
        <w:jc w:val="both"/>
        <w:rPr>
          <w:rFonts w:ascii="Arial" w:hAnsi="Arial" w:cs="Arial"/>
          <w:sz w:val="20"/>
          <w:szCs w:val="20"/>
        </w:rPr>
      </w:pPr>
      <w:r>
        <w:rPr>
          <w:rFonts w:ascii="Arial" w:hAnsi="Arial" w:cs="Arial"/>
          <w:sz w:val="20"/>
          <w:szCs w:val="20"/>
        </w:rPr>
        <w:t>2. Remuneration for</w:t>
      </w:r>
      <w:r w:rsidRPr="003E217D">
        <w:rPr>
          <w:rFonts w:ascii="Arial" w:hAnsi="Arial" w:cs="Arial"/>
          <w:sz w:val="20"/>
          <w:szCs w:val="20"/>
        </w:rPr>
        <w:t xml:space="preserve"> members</w:t>
      </w:r>
      <w:r>
        <w:rPr>
          <w:rFonts w:ascii="Arial" w:hAnsi="Arial" w:cs="Arial"/>
          <w:sz w:val="20"/>
          <w:szCs w:val="20"/>
        </w:rPr>
        <w:t xml:space="preserve"> of the Board of Directors: VND 3,500,000/ person</w:t>
      </w:r>
      <w:r w:rsidRPr="003E217D">
        <w:rPr>
          <w:rFonts w:ascii="Arial" w:hAnsi="Arial" w:cs="Arial"/>
          <w:sz w:val="20"/>
          <w:szCs w:val="20"/>
        </w:rPr>
        <w:t>/ mon</w:t>
      </w:r>
      <w:r>
        <w:rPr>
          <w:rFonts w:ascii="Arial" w:hAnsi="Arial" w:cs="Arial"/>
          <w:sz w:val="20"/>
          <w:szCs w:val="20"/>
        </w:rPr>
        <w:t>th</w:t>
      </w:r>
    </w:p>
    <w:p w:rsidR="003E217D" w:rsidRDefault="003E217D" w:rsidP="00736980">
      <w:pPr>
        <w:spacing w:line="360" w:lineRule="auto"/>
        <w:jc w:val="both"/>
        <w:rPr>
          <w:rFonts w:ascii="Arial" w:hAnsi="Arial" w:cs="Arial"/>
          <w:sz w:val="20"/>
          <w:szCs w:val="20"/>
        </w:rPr>
      </w:pPr>
      <w:r w:rsidRPr="003E217D">
        <w:rPr>
          <w:rFonts w:ascii="Arial" w:hAnsi="Arial" w:cs="Arial"/>
          <w:sz w:val="20"/>
          <w:szCs w:val="20"/>
        </w:rPr>
        <w:t>3. Remuneration for the Head of the S</w:t>
      </w:r>
      <w:r>
        <w:rPr>
          <w:rFonts w:ascii="Arial" w:hAnsi="Arial" w:cs="Arial"/>
          <w:sz w:val="20"/>
          <w:szCs w:val="20"/>
        </w:rPr>
        <w:t>upervisory Board: VND 3,000,000/ month</w:t>
      </w:r>
    </w:p>
    <w:p w:rsidR="003E217D" w:rsidRDefault="003E217D" w:rsidP="00736980">
      <w:pPr>
        <w:spacing w:line="360" w:lineRule="auto"/>
        <w:jc w:val="both"/>
        <w:rPr>
          <w:rFonts w:ascii="Arial" w:hAnsi="Arial" w:cs="Arial"/>
          <w:sz w:val="20"/>
          <w:szCs w:val="20"/>
        </w:rPr>
      </w:pPr>
      <w:r w:rsidRPr="003E217D">
        <w:rPr>
          <w:rFonts w:ascii="Arial" w:hAnsi="Arial" w:cs="Arial"/>
          <w:sz w:val="20"/>
          <w:szCs w:val="20"/>
        </w:rPr>
        <w:t>4. Remuneration for members of the S</w:t>
      </w:r>
      <w:r>
        <w:rPr>
          <w:rFonts w:ascii="Arial" w:hAnsi="Arial" w:cs="Arial"/>
          <w:sz w:val="20"/>
          <w:szCs w:val="20"/>
        </w:rPr>
        <w:t>upervisory Board: VND 2,000,000/ person/ month</w:t>
      </w:r>
    </w:p>
    <w:p w:rsidR="003E217D" w:rsidRDefault="003E217D" w:rsidP="00736980">
      <w:pPr>
        <w:spacing w:line="360" w:lineRule="auto"/>
        <w:jc w:val="both"/>
        <w:rPr>
          <w:rFonts w:ascii="Arial" w:hAnsi="Arial" w:cs="Arial"/>
          <w:sz w:val="20"/>
          <w:szCs w:val="20"/>
        </w:rPr>
      </w:pPr>
      <w:r w:rsidRPr="003E217D">
        <w:rPr>
          <w:rFonts w:ascii="Arial" w:hAnsi="Arial" w:cs="Arial"/>
          <w:sz w:val="20"/>
          <w:szCs w:val="20"/>
        </w:rPr>
        <w:t>Remuneration for the Board of Directors and Supervisory Board is accounted into the e</w:t>
      </w:r>
      <w:r>
        <w:rPr>
          <w:rFonts w:ascii="Arial" w:hAnsi="Arial" w:cs="Arial"/>
          <w:sz w:val="20"/>
          <w:szCs w:val="20"/>
        </w:rPr>
        <w:t>nterprise management expense</w:t>
      </w:r>
      <w:r w:rsidR="003A3C66">
        <w:rPr>
          <w:rFonts w:ascii="Arial" w:hAnsi="Arial" w:cs="Arial"/>
          <w:sz w:val="20"/>
          <w:szCs w:val="20"/>
        </w:rPr>
        <w:t>.  In case of full-time</w:t>
      </w:r>
      <w:r w:rsidRPr="003E217D">
        <w:rPr>
          <w:rFonts w:ascii="Arial" w:hAnsi="Arial" w:cs="Arial"/>
          <w:sz w:val="20"/>
          <w:szCs w:val="20"/>
        </w:rPr>
        <w:t xml:space="preserve"> Chairman of the </w:t>
      </w:r>
      <w:r>
        <w:rPr>
          <w:rFonts w:ascii="Arial" w:hAnsi="Arial" w:cs="Arial"/>
          <w:sz w:val="20"/>
          <w:szCs w:val="20"/>
        </w:rPr>
        <w:t>Board of Directors</w:t>
      </w:r>
      <w:r w:rsidR="003A3C66">
        <w:rPr>
          <w:rFonts w:ascii="Arial" w:hAnsi="Arial" w:cs="Arial"/>
          <w:sz w:val="20"/>
          <w:szCs w:val="20"/>
        </w:rPr>
        <w:t>, no</w:t>
      </w:r>
      <w:r w:rsidRPr="003E217D">
        <w:rPr>
          <w:rFonts w:ascii="Arial" w:hAnsi="Arial" w:cs="Arial"/>
          <w:sz w:val="20"/>
          <w:szCs w:val="20"/>
        </w:rPr>
        <w:t xml:space="preserve"> remuneration</w:t>
      </w:r>
      <w:r w:rsidR="003A3C66">
        <w:rPr>
          <w:rFonts w:ascii="Arial" w:hAnsi="Arial" w:cs="Arial"/>
          <w:sz w:val="20"/>
          <w:szCs w:val="20"/>
        </w:rPr>
        <w:t xml:space="preserve"> payment</w:t>
      </w:r>
    </w:p>
    <w:p w:rsidR="003A3C66" w:rsidRDefault="003A3C66" w:rsidP="003A3C66">
      <w:pPr>
        <w:spacing w:line="360" w:lineRule="auto"/>
        <w:jc w:val="both"/>
        <w:rPr>
          <w:rFonts w:ascii="Arial" w:hAnsi="Arial" w:cs="Arial"/>
          <w:sz w:val="20"/>
          <w:szCs w:val="20"/>
        </w:rPr>
      </w:pPr>
      <w:r>
        <w:rPr>
          <w:rFonts w:ascii="Arial" w:hAnsi="Arial" w:cs="Arial"/>
          <w:sz w:val="20"/>
          <w:szCs w:val="20"/>
        </w:rPr>
        <w:t>Article 8:</w:t>
      </w:r>
      <w:r w:rsidRPr="003A3C66">
        <w:rPr>
          <w:rFonts w:ascii="Arial" w:hAnsi="Arial" w:cs="Arial"/>
          <w:sz w:val="20"/>
          <w:szCs w:val="20"/>
        </w:rPr>
        <w:t xml:space="preserve"> Approving the authorization for t</w:t>
      </w:r>
      <w:r>
        <w:rPr>
          <w:rFonts w:ascii="Arial" w:hAnsi="Arial" w:cs="Arial"/>
          <w:sz w:val="20"/>
          <w:szCs w:val="20"/>
        </w:rPr>
        <w:t>he General Director to decide selection and sign</w:t>
      </w:r>
      <w:r w:rsidRPr="003A3C66">
        <w:rPr>
          <w:rFonts w:ascii="Arial" w:hAnsi="Arial" w:cs="Arial"/>
          <w:sz w:val="20"/>
          <w:szCs w:val="20"/>
        </w:rPr>
        <w:t xml:space="preserve"> contracts with the Auditing Company on the basis of the pro</w:t>
      </w:r>
      <w:r>
        <w:rPr>
          <w:rFonts w:ascii="Arial" w:hAnsi="Arial" w:cs="Arial"/>
          <w:sz w:val="20"/>
          <w:szCs w:val="20"/>
        </w:rPr>
        <w:t>posal of the Supervisory Board</w:t>
      </w:r>
    </w:p>
    <w:p w:rsidR="003A3C66" w:rsidRDefault="003A3C66" w:rsidP="003A3C66">
      <w:pPr>
        <w:spacing w:line="360" w:lineRule="auto"/>
        <w:jc w:val="both"/>
        <w:rPr>
          <w:rFonts w:ascii="Arial" w:hAnsi="Arial" w:cs="Arial"/>
          <w:sz w:val="20"/>
          <w:szCs w:val="20"/>
        </w:rPr>
      </w:pPr>
      <w:r>
        <w:rPr>
          <w:rFonts w:ascii="Arial" w:hAnsi="Arial" w:cs="Arial"/>
          <w:sz w:val="20"/>
          <w:szCs w:val="20"/>
        </w:rPr>
        <w:lastRenderedPageBreak/>
        <w:t xml:space="preserve">Article 9: </w:t>
      </w:r>
      <w:r w:rsidRPr="003A3C66">
        <w:rPr>
          <w:rFonts w:ascii="Arial" w:hAnsi="Arial" w:cs="Arial"/>
          <w:sz w:val="20"/>
          <w:szCs w:val="20"/>
        </w:rPr>
        <w:t xml:space="preserve">Approving the results of the election of the Board of Directors and the </w:t>
      </w:r>
      <w:r>
        <w:rPr>
          <w:rFonts w:ascii="Arial" w:hAnsi="Arial" w:cs="Arial"/>
          <w:sz w:val="20"/>
          <w:szCs w:val="20"/>
        </w:rPr>
        <w:t>Supervisor Board for the 2020-2025 term</w:t>
      </w:r>
    </w:p>
    <w:p w:rsidR="003A3C66" w:rsidRDefault="003A3C66" w:rsidP="003A3C66">
      <w:pPr>
        <w:spacing w:line="360" w:lineRule="auto"/>
        <w:jc w:val="both"/>
        <w:rPr>
          <w:rFonts w:ascii="Arial" w:hAnsi="Arial" w:cs="Arial"/>
          <w:sz w:val="20"/>
          <w:szCs w:val="20"/>
        </w:rPr>
      </w:pPr>
      <w:r w:rsidRPr="003A3C66">
        <w:rPr>
          <w:rFonts w:ascii="Arial" w:hAnsi="Arial" w:cs="Arial"/>
          <w:sz w:val="20"/>
          <w:szCs w:val="20"/>
        </w:rPr>
        <w:t xml:space="preserve">1. List of members of the Board of Directors for the 2020-2025 term: </w:t>
      </w:r>
    </w:p>
    <w:p w:rsidR="003A3C66" w:rsidRDefault="003A3C66" w:rsidP="003A3C66">
      <w:pPr>
        <w:spacing w:line="360" w:lineRule="auto"/>
        <w:jc w:val="both"/>
        <w:rPr>
          <w:rFonts w:ascii="Arial" w:hAnsi="Arial" w:cs="Arial"/>
          <w:sz w:val="20"/>
          <w:szCs w:val="20"/>
        </w:rPr>
      </w:pPr>
      <w:r>
        <w:rPr>
          <w:rFonts w:ascii="Arial" w:hAnsi="Arial" w:cs="Arial"/>
          <w:sz w:val="20"/>
          <w:szCs w:val="20"/>
        </w:rPr>
        <w:t xml:space="preserve">- </w:t>
      </w:r>
      <w:r w:rsidRPr="003A3C66">
        <w:rPr>
          <w:rFonts w:ascii="Arial" w:hAnsi="Arial" w:cs="Arial"/>
          <w:sz w:val="20"/>
          <w:szCs w:val="20"/>
        </w:rPr>
        <w:t xml:space="preserve">Mr. Vu </w:t>
      </w:r>
      <w:proofErr w:type="spellStart"/>
      <w:r w:rsidRPr="003A3C66">
        <w:rPr>
          <w:rFonts w:ascii="Arial" w:hAnsi="Arial" w:cs="Arial"/>
          <w:sz w:val="20"/>
          <w:szCs w:val="20"/>
        </w:rPr>
        <w:t>Trung</w:t>
      </w:r>
      <w:proofErr w:type="spellEnd"/>
      <w:r w:rsidRPr="003A3C66">
        <w:rPr>
          <w:rFonts w:ascii="Arial" w:hAnsi="Arial" w:cs="Arial"/>
          <w:sz w:val="20"/>
          <w:szCs w:val="20"/>
        </w:rPr>
        <w:t xml:space="preserve"> Ta </w:t>
      </w:r>
    </w:p>
    <w:p w:rsidR="003A3C66" w:rsidRDefault="003A3C66" w:rsidP="003A3C66">
      <w:pPr>
        <w:spacing w:line="360" w:lineRule="auto"/>
        <w:jc w:val="both"/>
        <w:rPr>
          <w:rFonts w:ascii="Arial" w:hAnsi="Arial" w:cs="Arial"/>
          <w:sz w:val="20"/>
          <w:szCs w:val="20"/>
        </w:rPr>
      </w:pPr>
      <w:r w:rsidRPr="003A3C66">
        <w:rPr>
          <w:rFonts w:ascii="Arial" w:hAnsi="Arial" w:cs="Arial"/>
          <w:sz w:val="20"/>
          <w:szCs w:val="20"/>
        </w:rPr>
        <w:t xml:space="preserve">- Mr. Ngo Thanh </w:t>
      </w:r>
      <w:proofErr w:type="spellStart"/>
      <w:r w:rsidRPr="003A3C66">
        <w:rPr>
          <w:rFonts w:ascii="Arial" w:hAnsi="Arial" w:cs="Arial"/>
          <w:sz w:val="20"/>
          <w:szCs w:val="20"/>
        </w:rPr>
        <w:t>Liem</w:t>
      </w:r>
      <w:proofErr w:type="spellEnd"/>
      <w:r w:rsidRPr="003A3C66">
        <w:rPr>
          <w:rFonts w:ascii="Arial" w:hAnsi="Arial" w:cs="Arial"/>
          <w:sz w:val="20"/>
          <w:szCs w:val="20"/>
        </w:rPr>
        <w:t xml:space="preserve"> </w:t>
      </w:r>
    </w:p>
    <w:p w:rsidR="003A3C66" w:rsidRDefault="003A3C66" w:rsidP="003A3C66">
      <w:pPr>
        <w:spacing w:line="360" w:lineRule="auto"/>
        <w:jc w:val="both"/>
        <w:rPr>
          <w:rFonts w:ascii="Arial" w:hAnsi="Arial" w:cs="Arial"/>
          <w:sz w:val="20"/>
          <w:szCs w:val="20"/>
        </w:rPr>
      </w:pPr>
      <w:r>
        <w:rPr>
          <w:rFonts w:ascii="Arial" w:hAnsi="Arial" w:cs="Arial"/>
          <w:sz w:val="20"/>
          <w:szCs w:val="20"/>
        </w:rPr>
        <w:t xml:space="preserve">- </w:t>
      </w:r>
      <w:r w:rsidRPr="003A3C66">
        <w:rPr>
          <w:rFonts w:ascii="Arial" w:hAnsi="Arial" w:cs="Arial"/>
          <w:sz w:val="20"/>
          <w:szCs w:val="20"/>
        </w:rPr>
        <w:t xml:space="preserve">Mr. Phan Huynh Tung </w:t>
      </w:r>
    </w:p>
    <w:p w:rsidR="003A3C66" w:rsidRDefault="003A3C66" w:rsidP="003A3C66">
      <w:pPr>
        <w:spacing w:line="360" w:lineRule="auto"/>
        <w:jc w:val="both"/>
        <w:rPr>
          <w:rFonts w:ascii="Arial" w:hAnsi="Arial" w:cs="Arial"/>
          <w:sz w:val="20"/>
          <w:szCs w:val="20"/>
        </w:rPr>
      </w:pPr>
      <w:r>
        <w:rPr>
          <w:rFonts w:ascii="Arial" w:hAnsi="Arial" w:cs="Arial"/>
          <w:sz w:val="20"/>
          <w:szCs w:val="20"/>
        </w:rPr>
        <w:t>- Mr.</w:t>
      </w:r>
      <w:r w:rsidRPr="003A3C66">
        <w:rPr>
          <w:rFonts w:ascii="Arial" w:hAnsi="Arial" w:cs="Arial"/>
          <w:sz w:val="20"/>
          <w:szCs w:val="20"/>
        </w:rPr>
        <w:t xml:space="preserve"> Nguyen Truong Son </w:t>
      </w:r>
    </w:p>
    <w:p w:rsidR="003A3C66" w:rsidRDefault="003A3C66" w:rsidP="003A3C66">
      <w:pPr>
        <w:spacing w:line="360" w:lineRule="auto"/>
        <w:jc w:val="both"/>
        <w:rPr>
          <w:rFonts w:ascii="Arial" w:hAnsi="Arial" w:cs="Arial"/>
          <w:sz w:val="20"/>
          <w:szCs w:val="20"/>
        </w:rPr>
      </w:pPr>
      <w:r>
        <w:rPr>
          <w:rFonts w:ascii="Arial" w:hAnsi="Arial" w:cs="Arial"/>
          <w:sz w:val="20"/>
          <w:szCs w:val="20"/>
        </w:rPr>
        <w:t xml:space="preserve">- </w:t>
      </w:r>
      <w:r w:rsidRPr="003A3C66">
        <w:rPr>
          <w:rFonts w:ascii="Arial" w:hAnsi="Arial" w:cs="Arial"/>
          <w:sz w:val="20"/>
          <w:szCs w:val="20"/>
        </w:rPr>
        <w:t xml:space="preserve">Mr. Dang Van Dung </w:t>
      </w:r>
    </w:p>
    <w:p w:rsidR="003A3C66" w:rsidRDefault="003A3C66" w:rsidP="003A3C66">
      <w:pPr>
        <w:spacing w:line="360" w:lineRule="auto"/>
        <w:jc w:val="both"/>
        <w:rPr>
          <w:rFonts w:ascii="Arial" w:hAnsi="Arial" w:cs="Arial"/>
          <w:sz w:val="20"/>
          <w:szCs w:val="20"/>
        </w:rPr>
      </w:pPr>
      <w:r w:rsidRPr="003A3C66">
        <w:rPr>
          <w:rFonts w:ascii="Arial" w:hAnsi="Arial" w:cs="Arial"/>
          <w:sz w:val="20"/>
          <w:szCs w:val="20"/>
        </w:rPr>
        <w:t xml:space="preserve">2. List of members of the Supervisory Board for the term </w:t>
      </w:r>
      <w:r>
        <w:rPr>
          <w:rFonts w:ascii="Arial" w:hAnsi="Arial" w:cs="Arial"/>
          <w:sz w:val="20"/>
          <w:szCs w:val="20"/>
        </w:rPr>
        <w:t xml:space="preserve">of </w:t>
      </w:r>
      <w:r w:rsidRPr="003A3C66">
        <w:rPr>
          <w:rFonts w:ascii="Arial" w:hAnsi="Arial" w:cs="Arial"/>
          <w:sz w:val="20"/>
          <w:szCs w:val="20"/>
        </w:rPr>
        <w:t xml:space="preserve">2020 - 2025: </w:t>
      </w:r>
    </w:p>
    <w:p w:rsidR="003A3C66" w:rsidRDefault="003A3C66" w:rsidP="003A3C66">
      <w:pPr>
        <w:spacing w:line="360" w:lineRule="auto"/>
        <w:jc w:val="both"/>
        <w:rPr>
          <w:rFonts w:ascii="Arial" w:hAnsi="Arial" w:cs="Arial"/>
          <w:sz w:val="20"/>
          <w:szCs w:val="20"/>
        </w:rPr>
      </w:pPr>
      <w:r>
        <w:rPr>
          <w:rFonts w:ascii="Arial" w:hAnsi="Arial" w:cs="Arial"/>
          <w:sz w:val="20"/>
          <w:szCs w:val="20"/>
        </w:rPr>
        <w:t xml:space="preserve">- </w:t>
      </w:r>
      <w:r w:rsidRPr="003A3C66">
        <w:rPr>
          <w:rFonts w:ascii="Arial" w:hAnsi="Arial" w:cs="Arial"/>
          <w:sz w:val="20"/>
          <w:szCs w:val="20"/>
        </w:rPr>
        <w:t xml:space="preserve">Mr. Do Anh Viet </w:t>
      </w:r>
    </w:p>
    <w:p w:rsidR="003A3C66" w:rsidRDefault="003A3C66" w:rsidP="003A3C66">
      <w:pPr>
        <w:spacing w:line="360" w:lineRule="auto"/>
        <w:jc w:val="both"/>
        <w:rPr>
          <w:rFonts w:ascii="Arial" w:hAnsi="Arial" w:cs="Arial"/>
          <w:sz w:val="20"/>
          <w:szCs w:val="20"/>
        </w:rPr>
      </w:pPr>
      <w:r>
        <w:rPr>
          <w:rFonts w:ascii="Arial" w:hAnsi="Arial" w:cs="Arial"/>
          <w:sz w:val="20"/>
          <w:szCs w:val="20"/>
        </w:rPr>
        <w:t xml:space="preserve">- </w:t>
      </w:r>
      <w:r w:rsidRPr="003A3C66">
        <w:rPr>
          <w:rFonts w:ascii="Arial" w:hAnsi="Arial" w:cs="Arial"/>
          <w:sz w:val="20"/>
          <w:szCs w:val="20"/>
        </w:rPr>
        <w:t xml:space="preserve">Ms. Nguyen Thi Thuy </w:t>
      </w:r>
      <w:proofErr w:type="spellStart"/>
      <w:r w:rsidRPr="003A3C66">
        <w:rPr>
          <w:rFonts w:ascii="Arial" w:hAnsi="Arial" w:cs="Arial"/>
          <w:sz w:val="20"/>
          <w:szCs w:val="20"/>
        </w:rPr>
        <w:t>Trang</w:t>
      </w:r>
      <w:proofErr w:type="spellEnd"/>
      <w:r w:rsidRPr="003A3C66">
        <w:rPr>
          <w:rFonts w:ascii="Arial" w:hAnsi="Arial" w:cs="Arial"/>
          <w:sz w:val="20"/>
          <w:szCs w:val="20"/>
        </w:rPr>
        <w:t xml:space="preserve"> </w:t>
      </w:r>
    </w:p>
    <w:p w:rsidR="003A3C66" w:rsidRDefault="003A3C66" w:rsidP="003A3C66">
      <w:pPr>
        <w:spacing w:line="360" w:lineRule="auto"/>
        <w:jc w:val="both"/>
        <w:rPr>
          <w:rFonts w:ascii="Arial" w:hAnsi="Arial" w:cs="Arial"/>
          <w:sz w:val="20"/>
          <w:szCs w:val="20"/>
        </w:rPr>
      </w:pPr>
      <w:r>
        <w:rPr>
          <w:rFonts w:ascii="Arial" w:hAnsi="Arial" w:cs="Arial"/>
          <w:sz w:val="20"/>
          <w:szCs w:val="20"/>
        </w:rPr>
        <w:t xml:space="preserve">- </w:t>
      </w:r>
      <w:r w:rsidRPr="003A3C66">
        <w:rPr>
          <w:rFonts w:ascii="Arial" w:hAnsi="Arial" w:cs="Arial"/>
          <w:sz w:val="20"/>
          <w:szCs w:val="20"/>
        </w:rPr>
        <w:t xml:space="preserve">Mr. Dang Ngoc Tuan Hiep </w:t>
      </w:r>
    </w:p>
    <w:p w:rsidR="003A3C66" w:rsidRDefault="003A3C66" w:rsidP="003A3C66">
      <w:pPr>
        <w:spacing w:line="360" w:lineRule="auto"/>
        <w:jc w:val="both"/>
        <w:rPr>
          <w:rFonts w:ascii="Arial" w:hAnsi="Arial" w:cs="Arial"/>
          <w:sz w:val="20"/>
          <w:szCs w:val="20"/>
        </w:rPr>
      </w:pPr>
      <w:r>
        <w:rPr>
          <w:rFonts w:ascii="Arial" w:hAnsi="Arial" w:cs="Arial"/>
          <w:sz w:val="20"/>
          <w:szCs w:val="20"/>
        </w:rPr>
        <w:t>Article 10:</w:t>
      </w:r>
      <w:r w:rsidRPr="003A3C66">
        <w:rPr>
          <w:rFonts w:ascii="Arial" w:hAnsi="Arial" w:cs="Arial"/>
          <w:sz w:val="20"/>
          <w:szCs w:val="20"/>
        </w:rPr>
        <w:t xml:space="preserve"> Assigning the Board of Directors for the term </w:t>
      </w:r>
      <w:r>
        <w:rPr>
          <w:rFonts w:ascii="Arial" w:hAnsi="Arial" w:cs="Arial"/>
          <w:sz w:val="20"/>
          <w:szCs w:val="20"/>
        </w:rPr>
        <w:t xml:space="preserve">of </w:t>
      </w:r>
      <w:r w:rsidRPr="003A3C66">
        <w:rPr>
          <w:rFonts w:ascii="Arial" w:hAnsi="Arial" w:cs="Arial"/>
          <w:sz w:val="20"/>
          <w:szCs w:val="20"/>
        </w:rPr>
        <w:t xml:space="preserve">2020-2025 </w:t>
      </w:r>
      <w:r>
        <w:rPr>
          <w:rFonts w:ascii="Arial" w:hAnsi="Arial" w:cs="Arial"/>
          <w:sz w:val="20"/>
          <w:szCs w:val="20"/>
        </w:rPr>
        <w:t>to continue to</w:t>
      </w:r>
      <w:r w:rsidRPr="003A3C66">
        <w:rPr>
          <w:rFonts w:ascii="Arial" w:hAnsi="Arial" w:cs="Arial"/>
          <w:sz w:val="20"/>
          <w:szCs w:val="20"/>
        </w:rPr>
        <w:t xml:space="preserve"> collect opinions of the </w:t>
      </w:r>
      <w:r>
        <w:rPr>
          <w:rFonts w:ascii="Arial" w:hAnsi="Arial" w:cs="Arial"/>
          <w:sz w:val="20"/>
          <w:szCs w:val="20"/>
        </w:rPr>
        <w:t>annual General Meeting of Shareholders</w:t>
      </w:r>
      <w:r w:rsidRPr="003A3C66">
        <w:rPr>
          <w:rFonts w:ascii="Arial" w:hAnsi="Arial" w:cs="Arial"/>
          <w:sz w:val="20"/>
          <w:szCs w:val="20"/>
        </w:rPr>
        <w:t xml:space="preserve">, based on the announced voting results to complete the reports presented at the </w:t>
      </w:r>
      <w:r>
        <w:rPr>
          <w:rFonts w:ascii="Arial" w:hAnsi="Arial" w:cs="Arial"/>
          <w:sz w:val="20"/>
          <w:szCs w:val="20"/>
        </w:rPr>
        <w:t>annual General Meeting of Shareholders</w:t>
      </w:r>
      <w:r w:rsidRPr="003A3C66">
        <w:rPr>
          <w:rFonts w:ascii="Arial" w:hAnsi="Arial" w:cs="Arial"/>
          <w:sz w:val="20"/>
          <w:szCs w:val="20"/>
        </w:rPr>
        <w:t xml:space="preserve"> and develop programs and action plans to implement the </w:t>
      </w:r>
      <w:r>
        <w:rPr>
          <w:rFonts w:ascii="Arial" w:hAnsi="Arial" w:cs="Arial"/>
          <w:sz w:val="20"/>
          <w:szCs w:val="20"/>
        </w:rPr>
        <w:t xml:space="preserve">annual General Mandate </w:t>
      </w:r>
    </w:p>
    <w:p w:rsidR="003A3C66" w:rsidRPr="003A3C66" w:rsidRDefault="003A3C66" w:rsidP="003A3C66">
      <w:pPr>
        <w:spacing w:line="360" w:lineRule="auto"/>
        <w:jc w:val="both"/>
        <w:rPr>
          <w:rFonts w:ascii="Arial" w:hAnsi="Arial" w:cs="Arial"/>
          <w:sz w:val="20"/>
          <w:szCs w:val="20"/>
        </w:rPr>
      </w:pPr>
      <w:r>
        <w:rPr>
          <w:rFonts w:ascii="Arial" w:hAnsi="Arial" w:cs="Arial"/>
          <w:sz w:val="20"/>
          <w:szCs w:val="20"/>
        </w:rPr>
        <w:t>Article 11:</w:t>
      </w:r>
      <w:r w:rsidRPr="003A3C66">
        <w:rPr>
          <w:rFonts w:ascii="Arial" w:hAnsi="Arial" w:cs="Arial"/>
          <w:sz w:val="20"/>
          <w:szCs w:val="20"/>
        </w:rPr>
        <w:t xml:space="preserve"> This </w:t>
      </w:r>
      <w:r>
        <w:rPr>
          <w:rFonts w:ascii="Arial" w:hAnsi="Arial" w:cs="Arial"/>
          <w:sz w:val="20"/>
          <w:szCs w:val="20"/>
        </w:rPr>
        <w:t>annual General Mandate</w:t>
      </w:r>
      <w:r w:rsidRPr="003A3C66">
        <w:rPr>
          <w:rFonts w:ascii="Arial" w:hAnsi="Arial" w:cs="Arial"/>
          <w:sz w:val="20"/>
          <w:szCs w:val="20"/>
        </w:rPr>
        <w:t xml:space="preserve"> takes ef</w:t>
      </w:r>
      <w:r>
        <w:rPr>
          <w:rFonts w:ascii="Arial" w:hAnsi="Arial" w:cs="Arial"/>
          <w:sz w:val="20"/>
          <w:szCs w:val="20"/>
        </w:rPr>
        <w:t xml:space="preserve">fect from the date of signing. </w:t>
      </w:r>
      <w:r w:rsidRPr="003A3C66">
        <w:rPr>
          <w:rFonts w:ascii="Arial" w:hAnsi="Arial" w:cs="Arial"/>
          <w:sz w:val="20"/>
          <w:szCs w:val="20"/>
        </w:rPr>
        <w:t xml:space="preserve">The Board of Directors, the Supervisory Board, the </w:t>
      </w:r>
      <w:r>
        <w:rPr>
          <w:rFonts w:ascii="Arial" w:hAnsi="Arial" w:cs="Arial"/>
          <w:sz w:val="20"/>
          <w:szCs w:val="20"/>
        </w:rPr>
        <w:t>Management Board</w:t>
      </w:r>
      <w:r w:rsidRPr="003A3C66">
        <w:rPr>
          <w:rFonts w:ascii="Arial" w:hAnsi="Arial" w:cs="Arial"/>
          <w:sz w:val="20"/>
          <w:szCs w:val="20"/>
        </w:rPr>
        <w:t xml:space="preserve"> of the Company and the shareholders are responsible for implementing this </w:t>
      </w:r>
      <w:r>
        <w:rPr>
          <w:rFonts w:ascii="Arial" w:hAnsi="Arial" w:cs="Arial"/>
          <w:sz w:val="20"/>
          <w:szCs w:val="20"/>
        </w:rPr>
        <w:t xml:space="preserve">annual General </w:t>
      </w:r>
      <w:r w:rsidR="00577D82">
        <w:rPr>
          <w:rFonts w:ascii="Arial" w:hAnsi="Arial" w:cs="Arial"/>
          <w:sz w:val="20"/>
          <w:szCs w:val="20"/>
        </w:rPr>
        <w:t>Mandate.</w:t>
      </w:r>
    </w:p>
    <w:sectPr w:rsidR="003A3C66" w:rsidRPr="003A3C66"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0167"/>
    <w:rsid w:val="00022849"/>
    <w:rsid w:val="00023813"/>
    <w:rsid w:val="00025C89"/>
    <w:rsid w:val="000266C2"/>
    <w:rsid w:val="000358A0"/>
    <w:rsid w:val="000365C1"/>
    <w:rsid w:val="00041D21"/>
    <w:rsid w:val="00042428"/>
    <w:rsid w:val="00045327"/>
    <w:rsid w:val="00050E3D"/>
    <w:rsid w:val="000512CE"/>
    <w:rsid w:val="000603A9"/>
    <w:rsid w:val="00066EE1"/>
    <w:rsid w:val="00067F24"/>
    <w:rsid w:val="00071B5A"/>
    <w:rsid w:val="00075754"/>
    <w:rsid w:val="00081D49"/>
    <w:rsid w:val="00083EB7"/>
    <w:rsid w:val="00085176"/>
    <w:rsid w:val="00085D47"/>
    <w:rsid w:val="00087E46"/>
    <w:rsid w:val="000935E2"/>
    <w:rsid w:val="00093CD4"/>
    <w:rsid w:val="000A0B74"/>
    <w:rsid w:val="000A58A2"/>
    <w:rsid w:val="000A6020"/>
    <w:rsid w:val="000B0BF1"/>
    <w:rsid w:val="000B2BDB"/>
    <w:rsid w:val="000B2EF1"/>
    <w:rsid w:val="000B650A"/>
    <w:rsid w:val="000B6969"/>
    <w:rsid w:val="000C2983"/>
    <w:rsid w:val="000C4127"/>
    <w:rsid w:val="000D073C"/>
    <w:rsid w:val="000D0CFB"/>
    <w:rsid w:val="000D20D4"/>
    <w:rsid w:val="000D25FC"/>
    <w:rsid w:val="000D5BE2"/>
    <w:rsid w:val="000E23DC"/>
    <w:rsid w:val="000E4CD5"/>
    <w:rsid w:val="000E518E"/>
    <w:rsid w:val="000E71F4"/>
    <w:rsid w:val="000F07F7"/>
    <w:rsid w:val="000F5901"/>
    <w:rsid w:val="000F76F2"/>
    <w:rsid w:val="00100818"/>
    <w:rsid w:val="00105EC0"/>
    <w:rsid w:val="001110AA"/>
    <w:rsid w:val="00114F74"/>
    <w:rsid w:val="00132560"/>
    <w:rsid w:val="00132EC5"/>
    <w:rsid w:val="00132FA0"/>
    <w:rsid w:val="001342CA"/>
    <w:rsid w:val="00135A2F"/>
    <w:rsid w:val="00136CAF"/>
    <w:rsid w:val="00146DCF"/>
    <w:rsid w:val="00151208"/>
    <w:rsid w:val="001541AA"/>
    <w:rsid w:val="00155048"/>
    <w:rsid w:val="001579A8"/>
    <w:rsid w:val="00160B92"/>
    <w:rsid w:val="00161658"/>
    <w:rsid w:val="0016411D"/>
    <w:rsid w:val="00167E2F"/>
    <w:rsid w:val="001732CF"/>
    <w:rsid w:val="00183E6D"/>
    <w:rsid w:val="0018575C"/>
    <w:rsid w:val="00185E8C"/>
    <w:rsid w:val="00191F14"/>
    <w:rsid w:val="001937B4"/>
    <w:rsid w:val="00194B6D"/>
    <w:rsid w:val="001B0D98"/>
    <w:rsid w:val="001C0B2B"/>
    <w:rsid w:val="001C5839"/>
    <w:rsid w:val="001C6831"/>
    <w:rsid w:val="001C7CD2"/>
    <w:rsid w:val="001D3C74"/>
    <w:rsid w:val="001D5E4A"/>
    <w:rsid w:val="001E4B88"/>
    <w:rsid w:val="001E707C"/>
    <w:rsid w:val="001F0E1D"/>
    <w:rsid w:val="001F1773"/>
    <w:rsid w:val="001F34A1"/>
    <w:rsid w:val="001F6744"/>
    <w:rsid w:val="001F74DC"/>
    <w:rsid w:val="001F7F19"/>
    <w:rsid w:val="0020011C"/>
    <w:rsid w:val="0020017D"/>
    <w:rsid w:val="00202525"/>
    <w:rsid w:val="00203027"/>
    <w:rsid w:val="00203391"/>
    <w:rsid w:val="00203661"/>
    <w:rsid w:val="00207AF4"/>
    <w:rsid w:val="00211BD8"/>
    <w:rsid w:val="00213694"/>
    <w:rsid w:val="0021553D"/>
    <w:rsid w:val="002164D2"/>
    <w:rsid w:val="00230BF1"/>
    <w:rsid w:val="002319EE"/>
    <w:rsid w:val="00232C8F"/>
    <w:rsid w:val="002357C4"/>
    <w:rsid w:val="00236F9F"/>
    <w:rsid w:val="0024779B"/>
    <w:rsid w:val="0025148F"/>
    <w:rsid w:val="00251CD9"/>
    <w:rsid w:val="00252CE0"/>
    <w:rsid w:val="00254EA2"/>
    <w:rsid w:val="0026535B"/>
    <w:rsid w:val="002701FB"/>
    <w:rsid w:val="002765B3"/>
    <w:rsid w:val="002779D1"/>
    <w:rsid w:val="0028284F"/>
    <w:rsid w:val="00287698"/>
    <w:rsid w:val="0029161A"/>
    <w:rsid w:val="00296BF9"/>
    <w:rsid w:val="002A3D5D"/>
    <w:rsid w:val="002A5A98"/>
    <w:rsid w:val="002A5AA4"/>
    <w:rsid w:val="002B16CF"/>
    <w:rsid w:val="002B42CC"/>
    <w:rsid w:val="002B4792"/>
    <w:rsid w:val="002C36A5"/>
    <w:rsid w:val="002D134A"/>
    <w:rsid w:val="002D481A"/>
    <w:rsid w:val="002D4939"/>
    <w:rsid w:val="002D53EE"/>
    <w:rsid w:val="002D61ED"/>
    <w:rsid w:val="002E10C4"/>
    <w:rsid w:val="002E43D7"/>
    <w:rsid w:val="002E5AD7"/>
    <w:rsid w:val="002E5C79"/>
    <w:rsid w:val="002E76E5"/>
    <w:rsid w:val="002E7FD0"/>
    <w:rsid w:val="002F68A9"/>
    <w:rsid w:val="003000BF"/>
    <w:rsid w:val="00303167"/>
    <w:rsid w:val="00304722"/>
    <w:rsid w:val="00304D2B"/>
    <w:rsid w:val="0030503E"/>
    <w:rsid w:val="00311EFA"/>
    <w:rsid w:val="00312733"/>
    <w:rsid w:val="0031274D"/>
    <w:rsid w:val="00316F05"/>
    <w:rsid w:val="00320096"/>
    <w:rsid w:val="0032185B"/>
    <w:rsid w:val="00323657"/>
    <w:rsid w:val="003275BA"/>
    <w:rsid w:val="00327CF7"/>
    <w:rsid w:val="003315CD"/>
    <w:rsid w:val="0033774A"/>
    <w:rsid w:val="00341204"/>
    <w:rsid w:val="00353428"/>
    <w:rsid w:val="00354158"/>
    <w:rsid w:val="00355050"/>
    <w:rsid w:val="00355319"/>
    <w:rsid w:val="003566CA"/>
    <w:rsid w:val="003608E8"/>
    <w:rsid w:val="00367043"/>
    <w:rsid w:val="0037607E"/>
    <w:rsid w:val="00387318"/>
    <w:rsid w:val="00391F06"/>
    <w:rsid w:val="00394778"/>
    <w:rsid w:val="00397004"/>
    <w:rsid w:val="003A0ECB"/>
    <w:rsid w:val="003A3C66"/>
    <w:rsid w:val="003A5CE9"/>
    <w:rsid w:val="003B253A"/>
    <w:rsid w:val="003B73F7"/>
    <w:rsid w:val="003B7790"/>
    <w:rsid w:val="003C1805"/>
    <w:rsid w:val="003C4606"/>
    <w:rsid w:val="003D02CB"/>
    <w:rsid w:val="003D18D5"/>
    <w:rsid w:val="003D36CC"/>
    <w:rsid w:val="003D3B1C"/>
    <w:rsid w:val="003E217D"/>
    <w:rsid w:val="003E4C50"/>
    <w:rsid w:val="003E60D6"/>
    <w:rsid w:val="003E73CA"/>
    <w:rsid w:val="003F3274"/>
    <w:rsid w:val="00403A9C"/>
    <w:rsid w:val="004115D9"/>
    <w:rsid w:val="00411E47"/>
    <w:rsid w:val="00420169"/>
    <w:rsid w:val="00425406"/>
    <w:rsid w:val="0042783A"/>
    <w:rsid w:val="0043345C"/>
    <w:rsid w:val="00434040"/>
    <w:rsid w:val="00435CE3"/>
    <w:rsid w:val="00442646"/>
    <w:rsid w:val="00442F77"/>
    <w:rsid w:val="004530A7"/>
    <w:rsid w:val="00453C9C"/>
    <w:rsid w:val="00456307"/>
    <w:rsid w:val="00467BC0"/>
    <w:rsid w:val="0047038B"/>
    <w:rsid w:val="00470844"/>
    <w:rsid w:val="00472560"/>
    <w:rsid w:val="00490B2B"/>
    <w:rsid w:val="00492514"/>
    <w:rsid w:val="00494DFC"/>
    <w:rsid w:val="00494F15"/>
    <w:rsid w:val="00496733"/>
    <w:rsid w:val="004A5289"/>
    <w:rsid w:val="004A554D"/>
    <w:rsid w:val="004B2BA6"/>
    <w:rsid w:val="004B4798"/>
    <w:rsid w:val="004C144F"/>
    <w:rsid w:val="004C22A2"/>
    <w:rsid w:val="004D5E0D"/>
    <w:rsid w:val="004E4C16"/>
    <w:rsid w:val="00503DD6"/>
    <w:rsid w:val="00505065"/>
    <w:rsid w:val="0052379D"/>
    <w:rsid w:val="0052508C"/>
    <w:rsid w:val="0052657B"/>
    <w:rsid w:val="0053093D"/>
    <w:rsid w:val="005324AB"/>
    <w:rsid w:val="005327C7"/>
    <w:rsid w:val="005342CF"/>
    <w:rsid w:val="00542688"/>
    <w:rsid w:val="0054732A"/>
    <w:rsid w:val="0055067A"/>
    <w:rsid w:val="00551A83"/>
    <w:rsid w:val="005610CB"/>
    <w:rsid w:val="00576A91"/>
    <w:rsid w:val="00577D82"/>
    <w:rsid w:val="00584222"/>
    <w:rsid w:val="0058434E"/>
    <w:rsid w:val="005847AB"/>
    <w:rsid w:val="00585B82"/>
    <w:rsid w:val="005906FC"/>
    <w:rsid w:val="00590F17"/>
    <w:rsid w:val="005961E3"/>
    <w:rsid w:val="005970B6"/>
    <w:rsid w:val="005A0BA8"/>
    <w:rsid w:val="005B1FDE"/>
    <w:rsid w:val="005B40E5"/>
    <w:rsid w:val="005B4761"/>
    <w:rsid w:val="005C0515"/>
    <w:rsid w:val="005C1B26"/>
    <w:rsid w:val="005C57E0"/>
    <w:rsid w:val="005C71E6"/>
    <w:rsid w:val="005D05F1"/>
    <w:rsid w:val="005D7F9C"/>
    <w:rsid w:val="005E0C06"/>
    <w:rsid w:val="005E17C2"/>
    <w:rsid w:val="005E26D3"/>
    <w:rsid w:val="005E7B32"/>
    <w:rsid w:val="005F7ED5"/>
    <w:rsid w:val="006000D8"/>
    <w:rsid w:val="0063035E"/>
    <w:rsid w:val="0063581B"/>
    <w:rsid w:val="006374A1"/>
    <w:rsid w:val="00641149"/>
    <w:rsid w:val="00642CD0"/>
    <w:rsid w:val="00653D82"/>
    <w:rsid w:val="00662E88"/>
    <w:rsid w:val="00664834"/>
    <w:rsid w:val="006650F5"/>
    <w:rsid w:val="00672026"/>
    <w:rsid w:val="006878E4"/>
    <w:rsid w:val="006938BF"/>
    <w:rsid w:val="006948E2"/>
    <w:rsid w:val="00694B5D"/>
    <w:rsid w:val="00695ACD"/>
    <w:rsid w:val="006A7679"/>
    <w:rsid w:val="006B04E8"/>
    <w:rsid w:val="006B10DB"/>
    <w:rsid w:val="006B1F03"/>
    <w:rsid w:val="006B36E8"/>
    <w:rsid w:val="006C2D18"/>
    <w:rsid w:val="006D01D8"/>
    <w:rsid w:val="006D683C"/>
    <w:rsid w:val="006E15A6"/>
    <w:rsid w:val="006E23FD"/>
    <w:rsid w:val="006E5E99"/>
    <w:rsid w:val="006F1401"/>
    <w:rsid w:val="007023FD"/>
    <w:rsid w:val="007034A5"/>
    <w:rsid w:val="00703A99"/>
    <w:rsid w:val="00710F35"/>
    <w:rsid w:val="00717AE7"/>
    <w:rsid w:val="0072101D"/>
    <w:rsid w:val="007218D0"/>
    <w:rsid w:val="00732DC3"/>
    <w:rsid w:val="007336C9"/>
    <w:rsid w:val="0073373F"/>
    <w:rsid w:val="00736980"/>
    <w:rsid w:val="00744587"/>
    <w:rsid w:val="00745D9A"/>
    <w:rsid w:val="00746595"/>
    <w:rsid w:val="00747AF7"/>
    <w:rsid w:val="00750F3E"/>
    <w:rsid w:val="00757555"/>
    <w:rsid w:val="00757DC4"/>
    <w:rsid w:val="00766104"/>
    <w:rsid w:val="00767B2B"/>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ED0"/>
    <w:rsid w:val="007B67AF"/>
    <w:rsid w:val="007C13C6"/>
    <w:rsid w:val="007C1822"/>
    <w:rsid w:val="007C2C64"/>
    <w:rsid w:val="007C54F1"/>
    <w:rsid w:val="007D0E0A"/>
    <w:rsid w:val="007E003D"/>
    <w:rsid w:val="007E0993"/>
    <w:rsid w:val="007E0A58"/>
    <w:rsid w:val="007E0B9A"/>
    <w:rsid w:val="007F298E"/>
    <w:rsid w:val="007F3E9A"/>
    <w:rsid w:val="007F69B1"/>
    <w:rsid w:val="007F7BBC"/>
    <w:rsid w:val="0080000E"/>
    <w:rsid w:val="00802B62"/>
    <w:rsid w:val="008041F5"/>
    <w:rsid w:val="008049EC"/>
    <w:rsid w:val="00807E42"/>
    <w:rsid w:val="008134FC"/>
    <w:rsid w:val="00825A70"/>
    <w:rsid w:val="00837771"/>
    <w:rsid w:val="008379F4"/>
    <w:rsid w:val="008405F2"/>
    <w:rsid w:val="0084142F"/>
    <w:rsid w:val="0084464A"/>
    <w:rsid w:val="0084485C"/>
    <w:rsid w:val="0084679A"/>
    <w:rsid w:val="00846A9E"/>
    <w:rsid w:val="008522D5"/>
    <w:rsid w:val="00852DD4"/>
    <w:rsid w:val="00853748"/>
    <w:rsid w:val="008544C2"/>
    <w:rsid w:val="00856DE8"/>
    <w:rsid w:val="0086029D"/>
    <w:rsid w:val="008647D9"/>
    <w:rsid w:val="00876050"/>
    <w:rsid w:val="00882307"/>
    <w:rsid w:val="00884B9C"/>
    <w:rsid w:val="00887454"/>
    <w:rsid w:val="008969E6"/>
    <w:rsid w:val="008A2225"/>
    <w:rsid w:val="008A7D89"/>
    <w:rsid w:val="008B0A69"/>
    <w:rsid w:val="008B2DCA"/>
    <w:rsid w:val="008C0872"/>
    <w:rsid w:val="008C33A0"/>
    <w:rsid w:val="008C46CA"/>
    <w:rsid w:val="008C7A42"/>
    <w:rsid w:val="008D12EB"/>
    <w:rsid w:val="008E41A6"/>
    <w:rsid w:val="008F1C6C"/>
    <w:rsid w:val="00904A89"/>
    <w:rsid w:val="00911196"/>
    <w:rsid w:val="009115F4"/>
    <w:rsid w:val="00911890"/>
    <w:rsid w:val="00912FBD"/>
    <w:rsid w:val="009232CB"/>
    <w:rsid w:val="00923467"/>
    <w:rsid w:val="00926469"/>
    <w:rsid w:val="009264B0"/>
    <w:rsid w:val="009331DA"/>
    <w:rsid w:val="00934FC0"/>
    <w:rsid w:val="00937D79"/>
    <w:rsid w:val="009410B8"/>
    <w:rsid w:val="009464B8"/>
    <w:rsid w:val="00953E87"/>
    <w:rsid w:val="00962777"/>
    <w:rsid w:val="00964DEC"/>
    <w:rsid w:val="00970B6C"/>
    <w:rsid w:val="009764D4"/>
    <w:rsid w:val="00980267"/>
    <w:rsid w:val="00981275"/>
    <w:rsid w:val="00981536"/>
    <w:rsid w:val="00981554"/>
    <w:rsid w:val="0099040A"/>
    <w:rsid w:val="009A6F47"/>
    <w:rsid w:val="009C28F2"/>
    <w:rsid w:val="009C66D1"/>
    <w:rsid w:val="009D598E"/>
    <w:rsid w:val="009D66DB"/>
    <w:rsid w:val="009E1744"/>
    <w:rsid w:val="009E4AC5"/>
    <w:rsid w:val="009F00D1"/>
    <w:rsid w:val="009F2709"/>
    <w:rsid w:val="009F4DC4"/>
    <w:rsid w:val="00A0409F"/>
    <w:rsid w:val="00A050AA"/>
    <w:rsid w:val="00A06443"/>
    <w:rsid w:val="00A06521"/>
    <w:rsid w:val="00A128FC"/>
    <w:rsid w:val="00A23E8D"/>
    <w:rsid w:val="00A25414"/>
    <w:rsid w:val="00A34999"/>
    <w:rsid w:val="00A42F99"/>
    <w:rsid w:val="00A4710B"/>
    <w:rsid w:val="00A47614"/>
    <w:rsid w:val="00A61FAF"/>
    <w:rsid w:val="00A63B6C"/>
    <w:rsid w:val="00A754EB"/>
    <w:rsid w:val="00A81D58"/>
    <w:rsid w:val="00A85D43"/>
    <w:rsid w:val="00A87ED0"/>
    <w:rsid w:val="00A92963"/>
    <w:rsid w:val="00A97058"/>
    <w:rsid w:val="00AA077E"/>
    <w:rsid w:val="00AA4D2D"/>
    <w:rsid w:val="00AA54AD"/>
    <w:rsid w:val="00AB2C99"/>
    <w:rsid w:val="00AB2EDA"/>
    <w:rsid w:val="00AB307B"/>
    <w:rsid w:val="00AB32F6"/>
    <w:rsid w:val="00AB5145"/>
    <w:rsid w:val="00AB6C95"/>
    <w:rsid w:val="00AC1F4A"/>
    <w:rsid w:val="00AC4F64"/>
    <w:rsid w:val="00AC6BEF"/>
    <w:rsid w:val="00AC7E5F"/>
    <w:rsid w:val="00AD33D8"/>
    <w:rsid w:val="00AE3C3F"/>
    <w:rsid w:val="00AE5AD9"/>
    <w:rsid w:val="00AE6E83"/>
    <w:rsid w:val="00AF0142"/>
    <w:rsid w:val="00AF1999"/>
    <w:rsid w:val="00AF204F"/>
    <w:rsid w:val="00AF67BE"/>
    <w:rsid w:val="00B04704"/>
    <w:rsid w:val="00B06970"/>
    <w:rsid w:val="00B10B5A"/>
    <w:rsid w:val="00B142AC"/>
    <w:rsid w:val="00B14B4A"/>
    <w:rsid w:val="00B21CC3"/>
    <w:rsid w:val="00B23E76"/>
    <w:rsid w:val="00B24D52"/>
    <w:rsid w:val="00B345DE"/>
    <w:rsid w:val="00B35896"/>
    <w:rsid w:val="00B41BD9"/>
    <w:rsid w:val="00B43A5A"/>
    <w:rsid w:val="00B441E0"/>
    <w:rsid w:val="00B46C41"/>
    <w:rsid w:val="00B47474"/>
    <w:rsid w:val="00B540B5"/>
    <w:rsid w:val="00B564D8"/>
    <w:rsid w:val="00B56AC4"/>
    <w:rsid w:val="00B603B6"/>
    <w:rsid w:val="00B62DF2"/>
    <w:rsid w:val="00B64F6C"/>
    <w:rsid w:val="00B67330"/>
    <w:rsid w:val="00B70D7E"/>
    <w:rsid w:val="00B7158A"/>
    <w:rsid w:val="00B71FBF"/>
    <w:rsid w:val="00B72E2C"/>
    <w:rsid w:val="00B733A8"/>
    <w:rsid w:val="00B7408A"/>
    <w:rsid w:val="00B744E0"/>
    <w:rsid w:val="00B76AF7"/>
    <w:rsid w:val="00B80EDA"/>
    <w:rsid w:val="00B823A0"/>
    <w:rsid w:val="00BA03BB"/>
    <w:rsid w:val="00BA1F12"/>
    <w:rsid w:val="00BA2434"/>
    <w:rsid w:val="00BA2DBC"/>
    <w:rsid w:val="00BA3FB7"/>
    <w:rsid w:val="00BB1331"/>
    <w:rsid w:val="00BB149F"/>
    <w:rsid w:val="00BB19BD"/>
    <w:rsid w:val="00BB2980"/>
    <w:rsid w:val="00BB3BD7"/>
    <w:rsid w:val="00BC3120"/>
    <w:rsid w:val="00BC7A94"/>
    <w:rsid w:val="00BD39A2"/>
    <w:rsid w:val="00BD3CCA"/>
    <w:rsid w:val="00BD53C0"/>
    <w:rsid w:val="00BD6969"/>
    <w:rsid w:val="00BE16CB"/>
    <w:rsid w:val="00BE3DF2"/>
    <w:rsid w:val="00BF0485"/>
    <w:rsid w:val="00BF3143"/>
    <w:rsid w:val="00C02348"/>
    <w:rsid w:val="00C1645E"/>
    <w:rsid w:val="00C220E2"/>
    <w:rsid w:val="00C2280B"/>
    <w:rsid w:val="00C22B12"/>
    <w:rsid w:val="00C23F49"/>
    <w:rsid w:val="00C26F1A"/>
    <w:rsid w:val="00C32F3A"/>
    <w:rsid w:val="00C33F82"/>
    <w:rsid w:val="00C36031"/>
    <w:rsid w:val="00C40291"/>
    <w:rsid w:val="00C51BC6"/>
    <w:rsid w:val="00C548D7"/>
    <w:rsid w:val="00C57CB9"/>
    <w:rsid w:val="00C609BE"/>
    <w:rsid w:val="00C61E40"/>
    <w:rsid w:val="00C61EAF"/>
    <w:rsid w:val="00C644A1"/>
    <w:rsid w:val="00C85D78"/>
    <w:rsid w:val="00C917EF"/>
    <w:rsid w:val="00C923B7"/>
    <w:rsid w:val="00C940B5"/>
    <w:rsid w:val="00C97B83"/>
    <w:rsid w:val="00CA1BB3"/>
    <w:rsid w:val="00CB00B1"/>
    <w:rsid w:val="00CB28D5"/>
    <w:rsid w:val="00CB4844"/>
    <w:rsid w:val="00CB5C91"/>
    <w:rsid w:val="00CC13C8"/>
    <w:rsid w:val="00CC39D3"/>
    <w:rsid w:val="00CC6CF2"/>
    <w:rsid w:val="00CC7DF5"/>
    <w:rsid w:val="00CD1C0C"/>
    <w:rsid w:val="00CD22F3"/>
    <w:rsid w:val="00CD6745"/>
    <w:rsid w:val="00CD696B"/>
    <w:rsid w:val="00CE1334"/>
    <w:rsid w:val="00CE3AB2"/>
    <w:rsid w:val="00CE3EC6"/>
    <w:rsid w:val="00CE40C1"/>
    <w:rsid w:val="00CE6426"/>
    <w:rsid w:val="00CF04D0"/>
    <w:rsid w:val="00CF1764"/>
    <w:rsid w:val="00CF7CE6"/>
    <w:rsid w:val="00D02E12"/>
    <w:rsid w:val="00D05A26"/>
    <w:rsid w:val="00D07AEF"/>
    <w:rsid w:val="00D10888"/>
    <w:rsid w:val="00D322FB"/>
    <w:rsid w:val="00D328E5"/>
    <w:rsid w:val="00D370AF"/>
    <w:rsid w:val="00D3748C"/>
    <w:rsid w:val="00D415AC"/>
    <w:rsid w:val="00D42678"/>
    <w:rsid w:val="00D47CCA"/>
    <w:rsid w:val="00D52C26"/>
    <w:rsid w:val="00D53360"/>
    <w:rsid w:val="00D53F57"/>
    <w:rsid w:val="00D55D74"/>
    <w:rsid w:val="00D570D1"/>
    <w:rsid w:val="00D60FE1"/>
    <w:rsid w:val="00D62C61"/>
    <w:rsid w:val="00D651E1"/>
    <w:rsid w:val="00D66A3D"/>
    <w:rsid w:val="00D74339"/>
    <w:rsid w:val="00D749F4"/>
    <w:rsid w:val="00D7560C"/>
    <w:rsid w:val="00D77F89"/>
    <w:rsid w:val="00D8017E"/>
    <w:rsid w:val="00D8075D"/>
    <w:rsid w:val="00D821E1"/>
    <w:rsid w:val="00D82848"/>
    <w:rsid w:val="00D834C7"/>
    <w:rsid w:val="00D835AD"/>
    <w:rsid w:val="00D837BB"/>
    <w:rsid w:val="00D8674C"/>
    <w:rsid w:val="00D86BED"/>
    <w:rsid w:val="00D91E79"/>
    <w:rsid w:val="00D92EFF"/>
    <w:rsid w:val="00D9503E"/>
    <w:rsid w:val="00D95FA2"/>
    <w:rsid w:val="00DA199B"/>
    <w:rsid w:val="00DA2D42"/>
    <w:rsid w:val="00DA3531"/>
    <w:rsid w:val="00DA3EA4"/>
    <w:rsid w:val="00DA54D0"/>
    <w:rsid w:val="00DB07D3"/>
    <w:rsid w:val="00DB2C71"/>
    <w:rsid w:val="00DB5EDC"/>
    <w:rsid w:val="00DD1205"/>
    <w:rsid w:val="00DD263A"/>
    <w:rsid w:val="00DE5C3C"/>
    <w:rsid w:val="00DE63F0"/>
    <w:rsid w:val="00DF0087"/>
    <w:rsid w:val="00DF4180"/>
    <w:rsid w:val="00DF739B"/>
    <w:rsid w:val="00E130EE"/>
    <w:rsid w:val="00E13C77"/>
    <w:rsid w:val="00E17016"/>
    <w:rsid w:val="00E20A0F"/>
    <w:rsid w:val="00E22F99"/>
    <w:rsid w:val="00E231C5"/>
    <w:rsid w:val="00E24F0A"/>
    <w:rsid w:val="00E27923"/>
    <w:rsid w:val="00E3201F"/>
    <w:rsid w:val="00E35884"/>
    <w:rsid w:val="00E47B26"/>
    <w:rsid w:val="00E51F4E"/>
    <w:rsid w:val="00E53A5C"/>
    <w:rsid w:val="00E5565D"/>
    <w:rsid w:val="00E65132"/>
    <w:rsid w:val="00E71354"/>
    <w:rsid w:val="00E7691C"/>
    <w:rsid w:val="00E81CDF"/>
    <w:rsid w:val="00E8283F"/>
    <w:rsid w:val="00E84649"/>
    <w:rsid w:val="00E96289"/>
    <w:rsid w:val="00E96D65"/>
    <w:rsid w:val="00EA2CDA"/>
    <w:rsid w:val="00EA4C28"/>
    <w:rsid w:val="00EA5F3A"/>
    <w:rsid w:val="00EA611A"/>
    <w:rsid w:val="00EA6EE7"/>
    <w:rsid w:val="00EA7BD4"/>
    <w:rsid w:val="00EC37DE"/>
    <w:rsid w:val="00ED2C04"/>
    <w:rsid w:val="00ED3B40"/>
    <w:rsid w:val="00ED6D41"/>
    <w:rsid w:val="00ED7216"/>
    <w:rsid w:val="00EE2BA8"/>
    <w:rsid w:val="00EF091F"/>
    <w:rsid w:val="00EF47D6"/>
    <w:rsid w:val="00F10AE1"/>
    <w:rsid w:val="00F264FB"/>
    <w:rsid w:val="00F272CE"/>
    <w:rsid w:val="00F320D6"/>
    <w:rsid w:val="00F33967"/>
    <w:rsid w:val="00F360CB"/>
    <w:rsid w:val="00F46D76"/>
    <w:rsid w:val="00F509DE"/>
    <w:rsid w:val="00F514ED"/>
    <w:rsid w:val="00F51E08"/>
    <w:rsid w:val="00F6241D"/>
    <w:rsid w:val="00F733D8"/>
    <w:rsid w:val="00F74558"/>
    <w:rsid w:val="00F77747"/>
    <w:rsid w:val="00F77F09"/>
    <w:rsid w:val="00F805BD"/>
    <w:rsid w:val="00F8463A"/>
    <w:rsid w:val="00F84CAD"/>
    <w:rsid w:val="00F85783"/>
    <w:rsid w:val="00F86F51"/>
    <w:rsid w:val="00F86F7A"/>
    <w:rsid w:val="00F903A5"/>
    <w:rsid w:val="00F92606"/>
    <w:rsid w:val="00F9597C"/>
    <w:rsid w:val="00FA0106"/>
    <w:rsid w:val="00FA3173"/>
    <w:rsid w:val="00FA6F79"/>
    <w:rsid w:val="00FB3CD7"/>
    <w:rsid w:val="00FC153A"/>
    <w:rsid w:val="00FC2093"/>
    <w:rsid w:val="00FC2FA4"/>
    <w:rsid w:val="00FD1EB7"/>
    <w:rsid w:val="00FD3EED"/>
    <w:rsid w:val="00FD4001"/>
    <w:rsid w:val="00FD423B"/>
    <w:rsid w:val="00FD6885"/>
    <w:rsid w:val="00FE1D49"/>
    <w:rsid w:val="00FE6715"/>
    <w:rsid w:val="00FF0429"/>
    <w:rsid w:val="00FF07BC"/>
    <w:rsid w:val="00FF5364"/>
    <w:rsid w:val="00FF5483"/>
    <w:rsid w:val="00FF661B"/>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E8CA"/>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2597</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356</cp:revision>
  <dcterms:created xsi:type="dcterms:W3CDTF">2019-10-16T10:03:00Z</dcterms:created>
  <dcterms:modified xsi:type="dcterms:W3CDTF">2020-06-25T08:46:00Z</dcterms:modified>
</cp:coreProperties>
</file>